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  <w:t>ДОГОВОР № ___/25</w:t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  <w:t>«на охрану объектов с личным имуществом граждан»</w:t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Normal"/>
        <w:widowControl/>
        <w:jc w:val="center"/>
        <w:rPr>
          <w:b/>
          <w:b/>
          <w:sz w:val="23"/>
          <w:szCs w:val="23"/>
        </w:rPr>
      </w:pPr>
      <w:r>
        <w:rPr>
          <w:sz w:val="23"/>
          <w:szCs w:val="23"/>
        </w:rPr>
        <w:t>г. Реутов                                                                                                «____» _____________2025 г.</w:t>
      </w:r>
    </w:p>
    <w:p>
      <w:pPr>
        <w:pStyle w:val="Normal"/>
        <w:widowControl/>
        <w:rPr>
          <w:sz w:val="23"/>
          <w:szCs w:val="23"/>
        </w:rPr>
      </w:pPr>
      <w:r>
        <w:rPr>
          <w:sz w:val="23"/>
          <w:szCs w:val="23"/>
        </w:rPr>
        <w:t xml:space="preserve">                           </w:t>
      </w:r>
    </w:p>
    <w:p>
      <w:pPr>
        <w:sectPr>
          <w:footerReference w:type="default" r:id="rId2"/>
          <w:type w:val="nextPage"/>
          <w:pgSz w:w="11906" w:h="16838"/>
          <w:pgMar w:left="1701" w:right="851" w:header="0" w:top="851" w:footer="720" w:bottom="851" w:gutter="0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pacing w:before="0" w:after="0"/>
        <w:ind w:left="0" w:right="0" w:firstLine="737"/>
        <w:jc w:val="both"/>
        <w:rPr/>
      </w:pPr>
      <w:r>
        <w:rPr>
          <w:b/>
          <w:bCs/>
          <w:i w:val="false"/>
          <w:iCs w:val="false"/>
          <w:sz w:val="24"/>
          <w:szCs w:val="24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Московской области»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, в лице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н</w:t>
      </w:r>
      <w:r>
        <w:rPr>
          <w:b w:val="false"/>
          <w:bCs w:val="false"/>
          <w:i w:val="false"/>
          <w:iCs w:val="false"/>
          <w:sz w:val="24"/>
          <w:szCs w:val="24"/>
        </w:rPr>
        <w:t>ачальника Федерального государственного казенного учреждения «Управления вневедомственной охраны войск национальной гвардии Российской Федерации по Московской области»</w:t>
      </w:r>
      <w:r>
        <w:rPr>
          <w:b w:val="false"/>
          <w:bCs w:val="false"/>
          <w:i w:val="false"/>
          <w:iCs w:val="false"/>
          <w:sz w:val="24"/>
          <w:szCs w:val="24"/>
        </w:rPr>
        <w:t>__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_________________________________, действующего на основании</w:t>
      </w:r>
      <w:r>
        <w:rPr>
          <w:b w:val="false"/>
          <w:bCs w:val="false"/>
          <w:i w:val="false"/>
          <w:iCs w:val="false"/>
          <w:sz w:val="24"/>
          <w:szCs w:val="24"/>
        </w:rPr>
        <w:t>___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__________________________________________________, именуемый в дальнейшем «</w:t>
      </w:r>
      <w:r>
        <w:rPr>
          <w:b/>
          <w:bCs/>
          <w:i w:val="false"/>
          <w:iCs w:val="false"/>
          <w:sz w:val="24"/>
          <w:szCs w:val="24"/>
        </w:rPr>
        <w:t>ИСПОЛНИТЕЛЬ»</w:t>
      </w:r>
      <w:r>
        <w:rPr>
          <w:b w:val="false"/>
          <w:bCs w:val="false"/>
          <w:i w:val="false"/>
          <w:iCs w:val="false"/>
          <w:sz w:val="24"/>
          <w:szCs w:val="24"/>
        </w:rPr>
        <w:t>, с одной стороны, и ___________________________________</w:t>
      </w:r>
      <w:r>
        <w:rPr>
          <w:b w:val="false"/>
          <w:bCs w:val="false"/>
          <w:i w:val="false"/>
          <w:iCs w:val="false"/>
          <w:sz w:val="24"/>
          <w:szCs w:val="24"/>
        </w:rPr>
        <w:t>________________________</w:t>
      </w:r>
      <w:r>
        <w:rPr>
          <w:b w:val="false"/>
          <w:bCs w:val="false"/>
          <w:i w:val="false"/>
          <w:iCs w:val="false"/>
          <w:sz w:val="24"/>
          <w:szCs w:val="24"/>
        </w:rPr>
        <w:t>проживающий(ая)  по адресу: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 xml:space="preserve"> _________________________________________,  паспорт: (серия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,  №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____________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), выдан:__________________________, телефон:______________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__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 xml:space="preserve">____, E-mail:_______________________________ </w:t>
      </w:r>
      <w:r>
        <w:rPr>
          <w:b w:val="false"/>
          <w:bCs w:val="false"/>
          <w:i w:val="false"/>
          <w:iCs w:val="false"/>
          <w:sz w:val="24"/>
          <w:szCs w:val="24"/>
        </w:rPr>
        <w:t>именуем</w:t>
      </w:r>
      <w:r>
        <w:rPr>
          <w:b w:val="false"/>
          <w:bCs w:val="false"/>
          <w:i w:val="false"/>
          <w:iCs w:val="false"/>
          <w:sz w:val="24"/>
          <w:szCs w:val="24"/>
          <w:u w:val="single"/>
        </w:rPr>
        <w:t>ый(ая)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 в дальнейшем,  «</w:t>
      </w:r>
      <w:r>
        <w:rPr>
          <w:b/>
          <w:bCs/>
          <w:i w:val="false"/>
          <w:iCs w:val="false"/>
          <w:sz w:val="24"/>
          <w:szCs w:val="24"/>
        </w:rPr>
        <w:t>ЗАКАЗЧИК»</w:t>
      </w:r>
      <w:r>
        <w:rPr>
          <w:b w:val="false"/>
          <w:bCs w:val="false"/>
          <w:i w:val="false"/>
          <w:iCs w:val="false"/>
          <w:sz w:val="24"/>
          <w:szCs w:val="24"/>
        </w:rPr>
        <w:t>, с другой стороны, заключили настоящий договор о следующем:</w:t>
      </w:r>
    </w:p>
    <w:p>
      <w:pPr>
        <w:pStyle w:val="Normal"/>
        <w:widowControl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1. ПРЕДМЕТ ДОГОВОРА.</w:t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1.1. «ЗАКАЗЧИК» поручает, а «ИСПОЛНИТЕЛЬ» осуществляет централизованное наблюдение в течение времени охраны (с момента приема средств сигнализации объекта под централизованное наблюдение до снятия их с наблюдения) за состоянием комплекса технических средств охраны (далее "Комплекс»), установленного в отдельной квартире (доме) или ином помещении (далее – «Объект») с личным имуществом «ЗАКАЗЧИКА» и членов его семьи по адресу(ам): </w:t>
      </w:r>
      <w:r>
        <w:rPr>
          <w:b/>
          <w:bCs/>
          <w:i w:val="false"/>
          <w:iCs w:val="false"/>
          <w:sz w:val="24"/>
          <w:szCs w:val="24"/>
        </w:rPr>
        <w:t>________________________________________</w:t>
      </w:r>
      <w:r>
        <w:rPr>
          <w:b/>
          <w:bCs/>
          <w:i w:val="false"/>
          <w:iCs w:val="false"/>
          <w:sz w:val="24"/>
          <w:szCs w:val="24"/>
        </w:rPr>
        <w:t>_</w:t>
      </w:r>
      <w:r>
        <w:rPr>
          <w:b/>
          <w:bCs/>
          <w:i w:val="false"/>
          <w:iCs w:val="false"/>
          <w:sz w:val="24"/>
          <w:szCs w:val="24"/>
        </w:rPr>
        <w:t>________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.</w:t>
      </w:r>
      <w:r>
        <w:rPr>
          <w:b/>
          <w:bCs/>
          <w:i w:val="false"/>
          <w:iCs w:val="false"/>
          <w:sz w:val="24"/>
          <w:szCs w:val="24"/>
        </w:rPr>
        <w:t xml:space="preserve">                         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1.2. При поступлении на пункт централизованной охраны «тревожных» сообщений, формируемых установленным на «Объекте» «Комплексом» «ИСПОЛНИТЕЛЬ» обеспечивает направление на «Объект» наряда внведомственной охраны для выяснения причин поступления сообщений, а при необходимости – принятия мер к задержанию проникших на «Объект» посторонних лиц.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 ОБЩИЕ ПОЛОЖЕНИЯ.</w:t>
      </w:r>
    </w:p>
    <w:p>
      <w:pPr>
        <w:pStyle w:val="Normal"/>
        <w:widowControl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2.1. «ИСПОЛНИТЕЛЬ» определяет на «Объекте» места, подлежащие оборудованию техническими средствами охраны, и рекомендует технические решения их защиты. Отказ «ЗАКАЗЧИКА» от оборудования техническими средствами охраны мест возможного проникновения и предложенного технического решения оговаривается в Приложении, являющемся неотъемлемой частью настоящего договора (далее - Приложение).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2.2. «Объект» должен удовлетворять требованиям «ИСПОЛНИТЕЛЯ» по технической укрепленности помещений с личным имуществом граждан и их оснащенности средствами сигнализации.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2.3. Договор заключается без осмотра и описи находящегося на "Объекте» имущества, которое «ЗАКАЗЧИК» оценивает в одностороннем порядке, но не ниже минимальной величины, установленной «ИСПОЛНИТЕЛЕМ». Оценочная стоимость имущества указывается в Приложении и может быть изменена по желанию клиента.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2.4. Прием «тревожных» сообщений осуществляется «ИСПОЛНИТЕЛЕМ» с помощью оборудования радиосистемы передачи извещений.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2.5. «ЗАКАЗЧИК», члены его семьи и доверенные лица «ЗАКАЗЧИКА» имеют равные права в пользовании «Комплексом».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tabs>
          <w:tab w:val="clear" w:pos="708"/>
          <w:tab w:val="center" w:pos="3244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 ОБЯЗАННОСТИ «ЗАКАЗЧИКА»</w:t>
      </w:r>
    </w:p>
    <w:p>
      <w:pPr>
        <w:pStyle w:val="Normal"/>
        <w:tabs>
          <w:tab w:val="clear" w:pos="708"/>
          <w:tab w:val="center" w:pos="3244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tabs>
          <w:tab w:val="clear" w:pos="708"/>
          <w:tab w:val="center" w:pos="0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3.1. Выполнять требования «ИСПОЛНИТЕЛЯ» по технической укрепленности «Объекта».</w:t>
      </w:r>
    </w:p>
    <w:p>
      <w:pPr>
        <w:pStyle w:val="Normal"/>
        <w:tabs>
          <w:tab w:val="clear" w:pos="708"/>
          <w:tab w:val="left" w:pos="489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.2. Соблюдать правила пользования «Комплексом», не вносить изменений в схему блокировки «Объекта».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</w:t>
      </w: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 Не разглашать посторонним лицам правила пользования «Комплексом», пароли, цифровые коды. Не передавать третьим лицам устройства персонального снятия «Объекта» с охраны.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3.4. Сообщить «ИСПОЛНИТЕЛЮ» свой служебный телефон, служебные телефоны членов семьи, адреса и телефоны доверенных лиц. Информировать «ИСПОЛНИТЕЛЯ» о всех изменениях этих данных. Установочные данные членов семьи и доверенных лиц «ЗАКАЗЧИКА» указываются в Приложении.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3.5. Обеспечить «ИСПОЛНИТЕЛЮ» возможность доступа во все помещения «Объекта» для выяснения и устранения причин поступления «тревожных» сообщений с «Комплекса», для чего сдать «ИСПОЛНИТЕЛЮ» комплект ключей от объекта, а также входных дверей подъездов, холлов и сообщить их коды (если таковые имеются). При смене замков, кодов своевременно информировать об этом «ИСПОЛНИТЕЛЯ» и производить замену комплекта ключей.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3.6. При обнаружении признаков проникновения на «Объект» посторонних лиц немедленно информировать об этом «ИСПОЛНИТЕЛЯ».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3.7. Заключить договор с организацией, обеспечивающей эксплуатационное обслуживание техническийх средств, имеющую на то лицензию и предоставить копию договора «ИСПОЛНИТЕЛЮ». Письменно уведомлять «ИСПОЛНИТЕЛЯ» в трехдневный срок об изменениях, вносимых в договор, а также о расторжении договора на техническое обслуживание.</w:t>
      </w:r>
    </w:p>
    <w:p>
      <w:pPr>
        <w:pStyle w:val="Normal"/>
        <w:tabs>
          <w:tab w:val="clear" w:pos="708"/>
          <w:tab w:val="center" w:pos="0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.8. В установленные сроки производить оплату услуг «ИСПОЛНИТЕЛЯ».</w:t>
      </w:r>
    </w:p>
    <w:p>
      <w:pPr>
        <w:pStyle w:val="Normal"/>
        <w:tabs>
          <w:tab w:val="clear" w:pos="708"/>
          <w:tab w:val="center" w:pos="0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3.9. Оплатить «ИСПОЛНИТЕЛЮ» расходы, связанные с выездами нарядов вневедомственной охраны войск национальной гвардии по «ложному» «тревожному» сообщению с «Объекта», поступившему из-за нарушений правил пользования «Комплексом» «ЗАКАЗЧИКОМ», членами его семьи, доверенными лицами.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3.10. Производить капитальный ремонт или замену комплекса технических средств охраны при невозможности  его дальнейшей эксплуатации из-за физического износа или необратимого изменения технических параметров вследствие климатических или производственных факторов, исключающих надежную защиту охраняемого объекта, но не реже одного раза в 8 лет, с установлением сроков ремонта или замены.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.11. Контролировать и своевременно пополнять денежный счёт на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SIM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-карте, если объект подключен с применением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GSM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-канала и (или)  с использованием в оборудовании </w:t>
      </w:r>
      <w:r>
        <w:rPr>
          <w:b w:val="false"/>
          <w:bCs w:val="false"/>
          <w:i w:val="false"/>
          <w:iCs w:val="false"/>
          <w:sz w:val="24"/>
          <w:szCs w:val="24"/>
          <w:lang w:val="en-US"/>
        </w:rPr>
        <w:t>SIM</w:t>
      </w:r>
      <w:r>
        <w:rPr>
          <w:b w:val="false"/>
          <w:bCs w:val="false"/>
          <w:i w:val="false"/>
          <w:iCs w:val="false"/>
          <w:sz w:val="24"/>
          <w:szCs w:val="24"/>
        </w:rPr>
        <w:t>-карт.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 ОБЯЗАННОСТИ «ИСПОЛНИТЕЛЯ»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4.1. Осуществлять в установленном порядке прием «Комплекса» под централизованное наблюдение. Контактные телефоны пункта централизованной охраны.</w:t>
      </w:r>
    </w:p>
    <w:p>
      <w:pPr>
        <w:pStyle w:val="Normal"/>
        <w:tabs>
          <w:tab w:val="clear" w:pos="708"/>
          <w:tab w:val="left" w:pos="494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4.2. При получении «тревожного» сообщения с «Комплекса», обеспечить его регистрацию и направить мобильный вневедомственной охраны войск национальной гвардии к «Объекту». Расчетное время прибытия к «Объекту» мобильного наряда вневедомственной охраны войск национальной гвардии «Исполнителя» составляет               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>до 25 минут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 с момента поступления на пункт централизованной охраны «тревожного» сообщения с «Комплекса».</w:t>
      </w:r>
    </w:p>
    <w:p>
      <w:pPr>
        <w:pStyle w:val="Normal"/>
        <w:tabs>
          <w:tab w:val="clear" w:pos="708"/>
          <w:tab w:val="left" w:pos="494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4.</w:t>
      </w: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</w:rPr>
        <w:t>. При наличии признаков проникновения на «Объект» посторонних лиц, принять меры к задержанию лиц, совершающих противоправные действия, проинформировать «ЗАКАЗЧИКА», членов его семьи или доверенного лица.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4.4. При получении «тревожного» сообщения с «Комплекса» и невозможности без вскрытия «Объекта» установить причину тревоги, используя комплект ключей, предоставленных «ЗАКАЗЧИКОМ», произвести вскрытие «Объекта» для выяснения и устранения причин поступления «тревожных» сообщений с «Комплекса». Вскрытие производить без понятых.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4.5. Предоставлять «ЗАКАЗЧИКУ» экземпляр акта установленного образца после вскрытия и осмотра объекта нарядом вневедомственной охраны войск национальной гвардии при срабатывании средств сигнализации.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4.6. Обеспечить сохранность комплекта ключей, предоставленных «ЗАКАЗЧИКОМ». При расторжении договора возвратить «ЗАКАЗЧИКУ» комплект ключей. Невостребованные в течение трех месяцев ключи уничтожить по акту.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4.7. Ознакомить «ЗАКАЗЧИКА» с требованиями «ИСПОЛНИТЕЛЯ» по технической укрепленности помещений с личным имуществом.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4.8. При изменении тарифов на услуги «ИСПОЛНИТЕЛЯ» уведомлять об этом «ЗАКАЗЧИКА».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 ПРАВА «СТОРОН»</w:t>
      </w:r>
    </w:p>
    <w:p>
      <w:pPr>
        <w:pStyle w:val="Normal"/>
        <w:spacing w:before="0" w:after="0"/>
        <w:ind w:left="0" w:right="0" w:firstLine="737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 «ЗАКАЗЧИК» вправе: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5.1.1. Устанавливать сумму оценки своего имущества, в пределах которой ему будет производиться компенсация за материальный ущерб причиненный кражей, совершенной в период централизованного наблюдения за «Объектом».</w:t>
      </w:r>
    </w:p>
    <w:p>
      <w:pPr>
        <w:pStyle w:val="Normal"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5.1.2. Сдавать «Комплекс» под централизованное наблюдение «ИСПОЛНИТЕЛЮ» в любое время и на любой срок в пределах срока действия настоящего договора.</w:t>
      </w:r>
    </w:p>
    <w:p>
      <w:pPr>
        <w:pStyle w:val="Normal"/>
        <w:tabs>
          <w:tab w:val="clear" w:pos="708"/>
          <w:tab w:val="left" w:pos="19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5.1.3. Назначать своих официальных представителей (доверенных лиц) и передавать им право входа на «Объект», право пользования «Комплексом» и исполнения обязанностей по настоящему договору. «ЗАКАЗЧИК», члены его семьи и доверенные лица «ЗАКАЗЧИКА» имеют равные права в пользовании «Комплексом».</w:t>
      </w:r>
    </w:p>
    <w:p>
      <w:pPr>
        <w:pStyle w:val="Normal"/>
        <w:spacing w:before="0" w:after="0"/>
        <w:ind w:left="0" w:right="0" w:firstLine="737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 «ИСПОЛНИТЕЛЬ» вправе: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5.2.1. Производить вскрытие «Объекта» с помощью комплекта ключей, предоставленных «ЗАКАЗЧИКОМ», и его осмотр с составлением акта, с целью выявления и устранения причин поступления «тревожных» сообщений с «Комплекса».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5.2.2. Временно не принимать «Комплекс» под централизованное наблюдение, о чем «ЗАКАЗЧИК» ставится в известность, в случаях если: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возникли причины, временно препятствующие осуществлению централизованного наблюдения (неисправность канала связи, отключение электроэнергии, замена системы централизованного наблюдения и т.п.);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предоставленные «ИСПОЛНИТЕЛЮ» «ЗАКАЗЧИКОМ» ключи и коды не соответствуют запорным устройствам на «Объекте»;</w:t>
      </w:r>
    </w:p>
    <w:p>
      <w:pPr>
        <w:pStyle w:val="Normal"/>
        <w:tabs>
          <w:tab w:val="clear" w:pos="708"/>
          <w:tab w:val="left" w:pos="54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элементы технической укрепленности на «Объекте» требуют ремонта или замены;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«ЗАКАЗЧИК» имеет задолженность по оплате за выезд наряда полиции по «ложному» «тревожному» сообщению, поступившему по вине «ЗАКАЗЧИКА», или за оказываемые «ИСПОЛНИТЕЛЕМ» услуги свыше одного месяца;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- «ЗАКАЗЧИКОМ» расторгнут договор на техническое обслуживание средств сигнализации, входящих в состав «Комплекса», установленного на «Объекте».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5.2.3. Временно приостановить предоставление услуг по настоящему договору, уведомив об этом «ЗАКАЗЧИКА», в случае возникновения спора о праве собственности и управления имуществом, находящимся во владении «ЗАКАЗЧИКА» и являющимся объектом охраны, до момента разрешения спора в предусмотренном законом порядке, вплоть до судебного.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 ОТВЕТСТВЕННОСТЬ «СТОРОН»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6.1. За несвоевременную оплату предоставляемых по настоящему договору услуг «ЗАКАЗЧИК» несет ответственность в соответствии с гражданским законодательством Российской Федерации.</w:t>
      </w:r>
    </w:p>
    <w:p>
      <w:pPr>
        <w:pStyle w:val="Normal"/>
        <w:tabs>
          <w:tab w:val="clear" w:pos="708"/>
          <w:tab w:val="left" w:pos="528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6</w:t>
      </w:r>
      <w:r>
        <w:rPr>
          <w:b w:val="false"/>
          <w:bCs w:val="false"/>
          <w:i w:val="false"/>
          <w:iCs w:val="false"/>
          <w:sz w:val="24"/>
          <w:szCs w:val="24"/>
        </w:rPr>
        <w:t>.2. «ЗАКАЗЧИК» несет ответственность в соответствии с условиями настоящего договора за действия членов своей семьи и доверенных лиц.</w:t>
      </w:r>
    </w:p>
    <w:p>
      <w:pPr>
        <w:pStyle w:val="Normal"/>
        <w:tabs>
          <w:tab w:val="clear" w:pos="708"/>
          <w:tab w:val="left" w:pos="528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6.3. «ИСПОЛНИТЕЛЬ» несет ответственность за ущерб нанесенный «ЗАКАЗЧИКУ» от кражи, повреждения или уничтожения имущества, в результате виновного невыполнения или виновного ненадлежащего выполнения «ИСПОЛНИТЕЛЕМ» своих обязательств по настоящему договору в размере прямого действительного ущерба, но не свыше оценочной стоимости имущества, указанной в Приложении к настоящему договору.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6.4. Возмещение материального ущерба по п. 6.3. настоящего договора производится по решению суда.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 «ИСПОЛНИТЕЛЬ» освобождается от ответственности за ущерб в случаях, если: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6.5.1. Кража была совершена путем проникновения посторонних лиц на «Объект» через места, от оборудования которых Техническими средствами охраны «ЗАКАЗЧИК» отказался.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6.5.2. Причиной кражи стало невыполнение «ЗАКАЗЧИКОМ» требований пунктов 3.1.-3.5. настоящего договора.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6.5.3. «ЗАКАЗЧИК» расторг договор на техническое обслуживание средств сигнализации, входящих в состав «Комплекса», установленного на «Объекте».</w:t>
      </w:r>
    </w:p>
    <w:p>
      <w:pPr>
        <w:pStyle w:val="Normal"/>
        <w:tabs>
          <w:tab w:val="clear" w:pos="708"/>
          <w:tab w:val="left" w:pos="513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6.5.4. Проникновение совершено во время, когда «Комплекс» не был поставлен «ЗАКАЗЧИКОМ» в режим охраны.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6.5.5. Лица, проникшие на «Объект», задержаны сотрудниками вневедомственной охраны войск национальной гвардии. 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6.5.6. Ущерб нанесен «ЗАКАЗЧИКУ» от грабежа, разбойного нападения, пожара.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6.5.7. Кража была совершена, когда «ИСПОЛНИТЕЛЬ» был лишен возможности вскрыть и осмотреть объект для выяснения причин срабатывания сигнализации вследствие несоответствия предоставленных «ИСПОЛНИТЕЛЮ» «ЗАКАЗЧИКОМ» ключей и кодов от запорных устройств объекта, подъезда, холла.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6.5.8. Кража была совершена в период, когда централизованное наблюдение за состоянием «Комплекс» временно не могло осуществляться по техническим причинам, независящим от «ИСПОЛНИТЕЛЯ» (отключении электроэнергии, и т.п.), о чем «ЗАКАЗЧИК», члены его семьи или доверенное лицо были предупреждены.</w:t>
      </w:r>
    </w:p>
    <w:p>
      <w:pPr>
        <w:pStyle w:val="Normal"/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sz w:val="24"/>
          <w:szCs w:val="24"/>
        </w:rPr>
        <w:t>6.</w:t>
      </w:r>
      <w:r>
        <w:rPr>
          <w:b w:val="false"/>
          <w:bCs w:val="false"/>
          <w:i w:val="false"/>
          <w:iCs w:val="false"/>
          <w:sz w:val="24"/>
          <w:szCs w:val="24"/>
        </w:rPr>
        <w:t>6. «ИСПОЛНИТЕЛЬ» не несет ответственности за нарушение целостности «Объекта» при проникновении или попытке проникновения на него посторонних лиц.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6.7. Наличие обстоятельств непреодолимой силы «Форс-мажор», непосредственно повлиявших на выполнение настоящего договора, освобождает «СТОРОНЫ» от ответственности за его полное или  частичное невыполнение.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 ПОРЯДОК РАСЧЕТОВ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7.1. Оплата услуг, предоставляемых «ИСПОЛНИТЕЛЕМ», производится ежемесячно, независимо от фактического времени централизованного наблюдения за состоянием «Комплекса», в соответствии с действующими тарифами не позднее 10-го числа текущего месяца. Оплата услуг, за первый после подписания договора месяц производится в полном размере как за целый месяц.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7.2. Тарифы на услуги «ИСПОЛНИТЕЛЯ» указываются в Приложении, устанавливаются с учетом фактических расходов по оказанию этого вида услуг и определенной «ЗАКАЗЧИКОМ» оценки его имущества и могут пересматриваться в течении срока действия договора «ИСПОЛНИТЕЛЕМ» с обязательным уведомлением «ЗАКАЗЧИКА».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7.3. Оплата «ИСПОЛНИТЕЛЮ» расходов, связанных с выездами наряда полиции по «ложному» «тревожному» сообщению с «Объекта» производится «ЗАКАЗЧИКОМ» в 10-дневный срок с момента получения письменного уведомления о факте выезда, оформленного соответствующим актом. Размер оплаты указывается в Приложении.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7.4. При расторжении договора «ЗАКАЗЧИКУ» возвращается внесенная вперед плата за услуги «ИСПОЛНИТЕЛЯ». Плата за неполный последний месяц возврату не подлежит.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7.5. Выплата компенсации за ущерб, причиненной кражей, производится «ЗАКАЗЧИКУ» по решению суда, вступившему в законную силу.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7.6. Возврат «ЗАКАЗЧИКУ» похищенных ценностей, изъятых следственными органами у лиц, совершивших кражу, производится этими органами или судом в установленном законом порядке. При этом «ИСПОЛНИТЕЛЬ» не принимает на ответственное хранение от указанных органов имущество, подлежащее возврату «ЗАКАЗЧИКУ».</w:t>
      </w:r>
    </w:p>
    <w:p>
      <w:pPr>
        <w:pStyle w:val="Normal"/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 СРОК ДЕЙСТВИЯ ДОГОВОРА</w:t>
      </w:r>
    </w:p>
    <w:p>
      <w:pPr>
        <w:pStyle w:val="Normal"/>
        <w:spacing w:before="0" w:after="0"/>
        <w:ind w:left="0" w:right="0" w:firstLine="737"/>
        <w:jc w:val="center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/>
      </w:pPr>
      <w:r>
        <w:rPr>
          <w:b w:val="false"/>
          <w:bCs w:val="false"/>
          <w:i w:val="false"/>
          <w:iCs w:val="false"/>
          <w:color w:val="000000"/>
          <w:sz w:val="24"/>
          <w:szCs w:val="24"/>
        </w:rPr>
        <w:t xml:space="preserve">8.1. Настоящий договор заключается сроком на 12 месяцев и вступает в силу с                          </w:t>
      </w:r>
      <w:r>
        <w:rPr>
          <w:b/>
          <w:bCs/>
          <w:i w:val="false"/>
          <w:iCs w:val="false"/>
          <w:color w:val="000000"/>
          <w:sz w:val="24"/>
          <w:szCs w:val="24"/>
        </w:rPr>
        <w:t>«_____»______________ 2025 года.</w:t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6"/>
        </w:rPr>
      </w:pPr>
      <w:r>
        <w:rPr>
          <w:rFonts w:cs="Times New Roman"/>
          <w:b w:val="false"/>
          <w:bCs w:val="false"/>
          <w:i w:val="false"/>
          <w:iCs w:val="false"/>
          <w:color w:val="000000"/>
          <w:sz w:val="24"/>
          <w:szCs w:val="26"/>
        </w:rPr>
        <w:t>8.2. Если ни одна из Сторон не заявит о своем намерении расторгнуть Договор в письменной форме за 30 календарных дней до окончания срока действия Договора, то Договор считается автоматически пролонгированным на последующий год.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 Настоящий Договор расторгается по соглашению Сторон или по инициативе одной из Сторон путем направления письменного уведомления за 30 (тридцать) календарных дней до момента расторжения, с обязательным проведением взаиморасчетов.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8.3.1. «ИСПОЛНИТЕЛЬ» незамедлительно расторгает Договор в одностороннем порядке с уведомлением «Заказчика» в случаях: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8.3.2. Возникновения спора о праве собственности (пользования, владения, распоряжения) и (или) управления имуществом, являющимся объектом охраны, до момента разрешения спора в предусмотренном законом порядке.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8.3.3. Неоднократного нарушения сроков оплаты «ЗАКАЗЧИКОМ» услуг по настоящему Договору.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sz w:val="24"/>
          <w:szCs w:val="26"/>
        </w:rPr>
      </w:pPr>
      <w:r>
        <w:rPr>
          <w:rFonts w:cs="Times New Roman"/>
          <w:sz w:val="24"/>
          <w:szCs w:val="26"/>
        </w:rPr>
        <w:t>8.3.4. Отказа «ЗАКАЗЧИК» от заключения соглашения по изменению суммы Договора в связи с изменением тарифов на охрану.</w:t>
      </w:r>
    </w:p>
    <w:p>
      <w:pPr>
        <w:pStyle w:val="Normal"/>
        <w:widowControl/>
        <w:tabs>
          <w:tab w:val="clear" w:pos="708"/>
          <w:tab w:val="left" w:pos="0" w:leader="none"/>
        </w:tabs>
        <w:spacing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6"/>
        </w:rPr>
      </w:pPr>
      <w:r>
        <w:rPr>
          <w:rFonts w:cs="Times New Roman"/>
          <w:b w:val="false"/>
          <w:bCs w:val="false"/>
          <w:i w:val="false"/>
          <w:iCs w:val="false"/>
          <w:color w:val="000000"/>
          <w:sz w:val="24"/>
          <w:szCs w:val="26"/>
        </w:rPr>
        <w:t>8.3.5. С момента издания нормативного правового акта, устанавливающего на территории субъекта Российской Федерации военное положение или режим чрезвычайной ситуации, Договор считается незамедлительно расторгнутым.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8.3.6. «ЗАКАЗЧИК» отказался от проведения капитального ремонта или замены комплекса технических средств охраны при невозможности  его дальнейшей эксплуатации из-за физического износа или необратимого изменения технических параметров вследствие климатических или производственных факторов, исключающих надежную защиту охраняемого объекта, но не реже одного раза в 8 лет, с установлением сроков ремонта или замены;</w:t>
      </w:r>
    </w:p>
    <w:p>
      <w:pPr>
        <w:pStyle w:val="Normal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8.3.7. не устранены в установленный срок выявленные при обследовании и отраженные в соответствующих актах обследования недостатки в технической укрепленности охраняемых объектов, средств охраны и связи, в том числе охранной сигнализации.</w:t>
      </w:r>
    </w:p>
    <w:p>
      <w:pPr>
        <w:pStyle w:val="22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>8.3.8. «Договор может быть расторгнут до истечения срока его действия по инициативе каждой из «Сторон» в одностороннем порядке с уведомлением другой «Стороны» в случаи, если инициирующая расторжение «Сторона» непосредственно либо косвенно участвует в ликвидации чрезвычайных ситуаций или проведении военных действий».</w:t>
      </w:r>
    </w:p>
    <w:p>
      <w:pPr>
        <w:pStyle w:val="22"/>
        <w:tabs>
          <w:tab w:val="clear" w:pos="708"/>
          <w:tab w:val="left" w:pos="537" w:leader="none"/>
        </w:tabs>
        <w:spacing w:before="0" w:after="0"/>
        <w:ind w:left="0" w:right="0" w:firstLine="737"/>
        <w:jc w:val="both"/>
        <w:rPr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 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center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 ПРОЧИЕ УСЛОВИЯ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center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/>
      </w:pPr>
      <w:r>
        <w:rPr>
          <w:rFonts w:cs="Times New Roman"/>
          <w:b w:val="false"/>
          <w:bCs w:val="false"/>
          <w:sz w:val="24"/>
          <w:szCs w:val="26"/>
        </w:rPr>
        <w:t>9.1. Уведомление об изменении стоимости охранных услуг, реквизитов и иных положений Договора осуществляется «ИСПОЛНИТЕЛЕМ» любыми доступными способами позволяющими подтвердить получение уведомления «ЗАКАЗЧИКОМ», в том числе: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9.1.1. посредством почтовых отправлений;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9.1.2. телефонограммой или телеграммой;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9.1.3. по факсимильной связи;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9.1.4. посредством электронной почты;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/>
      </w:pPr>
      <w:r>
        <w:rPr>
          <w:rFonts w:cs="Times New Roman"/>
          <w:b w:val="false"/>
          <w:bCs w:val="false"/>
          <w:sz w:val="24"/>
          <w:szCs w:val="26"/>
        </w:rPr>
        <w:t xml:space="preserve">9.1.5. посредством мгновенных сообщений и </w:t>
      </w:r>
      <w:r>
        <w:rPr>
          <w:rFonts w:cs="Times New Roman"/>
          <w:b w:val="false"/>
          <w:bCs w:val="false"/>
          <w:sz w:val="24"/>
          <w:szCs w:val="26"/>
          <w:lang w:val="en-US"/>
        </w:rPr>
        <w:t>sms</w:t>
      </w:r>
      <w:r>
        <w:rPr>
          <w:rFonts w:cs="Times New Roman"/>
          <w:b w:val="false"/>
          <w:bCs w:val="false"/>
          <w:sz w:val="24"/>
          <w:szCs w:val="26"/>
        </w:rPr>
        <w:t xml:space="preserve"> – сообщений на мобильный телефон;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9.1.6. с использованием иных средств связи и доставки.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9.2. Споры, возникающие в процессе исполнения обязательств по настоящему Договору, разрешаются путем переговоров. В случае не достижения согласия в результате переговоров, стороны принимают меры по досудебному урегулированию спора, а именно: Сторона, права которой нарушены, направляет в адрес другой Стороны претензию в письменном виде с изложением своих требований.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9.3. Сторона, нарушившая условия договора, в течение 10 (десять) календарных дней со дня получения претензии, удовлетворяет предъявленные требования либо письменно уведомляет Сторону, права которой нарушены, об отказе от удовлетворения требований.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9.4. Претензия и ответ на претензию направляются Сторонами друг другу любым доступным способом, в возможно короткие сроки с подтверждением получения.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9.5. Если по истечению вышеуказанного срока, предъявленные требования не удовлетворены, либо ответ об отказе от удовлетворения требований не получен¸ Сторона, права которой нарушены, имеет право передать решение спорного вопроса на рассмотрение Арбитражного суда Московской области в порядке, предусмотренном законодательством Российской Федерации.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9.6. Стороны признают юридическую силу за копиями документов, полученных по электронной почте или факсу, и признают их равенство с оригинальными документов, оформленных на бумажных носителях.</w:t>
      </w:r>
    </w:p>
    <w:p>
      <w:pPr>
        <w:pStyle w:val="Normal"/>
        <w:shd w:fill="FFFFFF" w:val="clear"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 xml:space="preserve">9.7. Все изменения и дополнения к настоящему Договору оформляются в письменной форме в виде дополнительного соглашения. 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9.8. По всем вопросам, неурегулированным настоящим Договором, стороны руководствуются законодательством Российской Федерации.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9.9. Настоящий Договор составлен в 2-х (двух) экземплярах, имеющих одинаковую юридическую силу, по одному экземпляру для каждой из сторон.</w:t>
      </w:r>
    </w:p>
    <w:p>
      <w:pPr>
        <w:pStyle w:val="Normal"/>
        <w:keepNext w:val="true"/>
        <w:keepLines/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6"/>
        </w:rPr>
      </w:pPr>
      <w:r>
        <w:rPr>
          <w:rFonts w:cs="Times New Roman"/>
          <w:b w:val="false"/>
          <w:bCs w:val="false"/>
          <w:sz w:val="24"/>
          <w:szCs w:val="26"/>
        </w:rPr>
        <w:t>9.10. К настоящему Договору прилагаются и являются его неотъемлемой частью:</w:t>
      </w:r>
    </w:p>
    <w:p>
      <w:pPr>
        <w:pStyle w:val="Normal"/>
        <w:keepNext w:val="true"/>
        <w:keepLines/>
        <w:tabs>
          <w:tab w:val="clear" w:pos="708"/>
          <w:tab w:val="left" w:pos="508" w:leader="none"/>
        </w:tabs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/>
          <w:b w:val="false"/>
          <w:bCs w:val="false"/>
          <w:sz w:val="24"/>
          <w:szCs w:val="24"/>
        </w:rPr>
        <w:t> </w:t>
      </w:r>
      <w:r>
        <w:rPr>
          <w:rFonts w:cs="Times New Roman"/>
          <w:b w:val="false"/>
          <w:bCs w:val="false"/>
          <w:sz w:val="24"/>
          <w:szCs w:val="24"/>
        </w:rPr>
        <w:t xml:space="preserve">Приложение № 1 . </w:t>
      </w:r>
    </w:p>
    <w:p>
      <w:pPr>
        <w:pStyle w:val="Normal"/>
        <w:tabs>
          <w:tab w:val="clear" w:pos="708"/>
          <w:tab w:val="left" w:pos="508" w:leader="none"/>
        </w:tabs>
        <w:spacing w:lineRule="auto" w:line="240" w:before="0" w:after="0"/>
        <w:ind w:left="0" w:right="0" w:firstLine="737"/>
        <w:jc w:val="both"/>
        <w:rPr>
          <w:rFonts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/>
          <w:b w:val="false"/>
          <w:bCs w:val="false"/>
          <w:sz w:val="24"/>
          <w:szCs w:val="24"/>
        </w:rPr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jc w:val="center"/>
        <w:rPr>
          <w:b/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>ЮРИДИЧЕСКИЕ АДРЕСА И БАНКОВСКИЕ РЕКВИЗИТЫ СТОРОН:</w:t>
      </w:r>
    </w:p>
    <w:tbl>
      <w:tblPr>
        <w:tblW w:w="9356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820"/>
        <w:gridCol w:w="4536"/>
      </w:tblGrid>
      <w:tr>
        <w:trPr>
          <w:trHeight w:val="175" w:hRule="atLeast"/>
        </w:trPr>
        <w:tc>
          <w:tcPr>
            <w:tcW w:w="4820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3"/>
                <w:szCs w:val="23"/>
              </w:rPr>
            </w:pPr>
            <w:r>
              <w:rPr>
                <w:b/>
                <w:color w:val="000000"/>
                <w:sz w:val="23"/>
                <w:szCs w:val="23"/>
              </w:rPr>
              <w:t>«ЗАКАЗЧИК»</w:t>
            </w:r>
          </w:p>
        </w:tc>
        <w:tc>
          <w:tcPr>
            <w:tcW w:w="4536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3"/>
                <w:szCs w:val="23"/>
              </w:rPr>
            </w:pPr>
            <w:r>
              <w:rPr>
                <w:b/>
                <w:color w:val="000000"/>
                <w:sz w:val="23"/>
                <w:szCs w:val="23"/>
              </w:rPr>
              <w:t>«ИСПОЛНИТЕЛЬ»</w:t>
            </w:r>
          </w:p>
        </w:tc>
      </w:tr>
      <w:tr>
        <w:trPr>
          <w:trHeight w:val="865" w:hRule="atLeast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true"/>
              <w:bidi w:val="0"/>
              <w:spacing w:before="0" w:after="0"/>
              <w:ind w:left="0" w:right="0" w:hanging="0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/>
                <w:bCs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________________________________________</w:t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firstLine="708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rFonts w:eastAsia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/>
            </w:pPr>
            <w:r>
              <w:rPr/>
              <w:t xml:space="preserve">(реквизиты заказчика)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Федеральное государственное казенное учреждение «Управление вневедомственной охраны Войск национальной гвардии Российской Федерации  по Московской области»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Место нахождение и почтовый адрес: 143968, Московская область, г. Реутов, проезд братьев Фоминых, дом 5.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Банковские реквизиты: ______________________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Юридический отдел: телефон: 8(495)528-12-07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E-mail: 7012179@mail.ru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>Бухгалтерия: телелфон: 8(495)528-30-07</w:t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  <w:t xml:space="preserve">E-mail: </w:t>
            </w:r>
            <w:hyperlink r:id="rId3">
              <w:r>
                <w:rPr>
                  <w:b w:val="false"/>
                  <w:bCs w:val="false"/>
                  <w:color w:val="000000"/>
                  <w:sz w:val="20"/>
                  <w:szCs w:val="20"/>
                </w:rPr>
                <w:t>7012179@mail.ru</w:t>
              </w:r>
            </w:hyperlink>
            <w:r>
              <w:rPr>
                <w:b w:val="false"/>
                <w:bCs w:val="false"/>
                <w:color w:val="000000"/>
                <w:sz w:val="20"/>
                <w:szCs w:val="20"/>
              </w:rPr>
              <w:t xml:space="preserve"> </w:t>
            </w:r>
          </w:p>
        </w:tc>
      </w:tr>
      <w:tr>
        <w:trPr>
          <w:trHeight w:val="629" w:hRule="atLeast"/>
        </w:trPr>
        <w:tc>
          <w:tcPr>
            <w:tcW w:w="48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ЗАКАЗЧИК  (ФИО) 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i w:val="false"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0" w:right="0" w:hanging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Начальник </w:t>
            </w:r>
          </w:p>
          <w:p>
            <w:pPr>
              <w:pStyle w:val="Normal"/>
              <w:widowControl w:val="false"/>
              <w:ind w:left="0" w:right="0" w:hanging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i w:val="false"/>
                <w:iCs w:val="false"/>
                <w:color w:val="auto"/>
                <w:kern w:val="0"/>
                <w:sz w:val="20"/>
                <w:szCs w:val="20"/>
                <w:lang w:val="ru-RU" w:eastAsia="ru-RU" w:bidi="ar-SA"/>
              </w:rPr>
              <w:t>(ФИО)</w:t>
            </w:r>
          </w:p>
        </w:tc>
      </w:tr>
      <w:tr>
        <w:trPr>
          <w:trHeight w:val="50" w:hRule="atLeast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(подпись)</w:t>
            </w:r>
          </w:p>
        </w:tc>
      </w:tr>
    </w:tbl>
    <w:p>
      <w:pPr>
        <w:pStyle w:val="13"/>
        <w:ind w:left="0" w:right="-659" w:hanging="0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</w:r>
    </w:p>
    <w:tbl>
      <w:tblPr>
        <w:tblW w:w="9470" w:type="dxa"/>
        <w:jc w:val="left"/>
        <w:tblInd w:w="363" w:type="dxa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3684"/>
        <w:gridCol w:w="5786"/>
      </w:tblGrid>
      <w:tr>
        <w:trPr>
          <w:trHeight w:val="480" w:hRule="atLeast"/>
        </w:trPr>
        <w:tc>
          <w:tcPr>
            <w:tcW w:w="9470" w:type="dxa"/>
            <w:gridSpan w:val="2"/>
            <w:tcBorders>
              <w:bottom w:val="single" w:sz="4" w:space="0" w:color="000000"/>
            </w:tcBorders>
          </w:tcPr>
          <w:p>
            <w:pPr>
              <w:pStyle w:val="13"/>
              <w:widowControl w:val="false"/>
              <w:suppressAutoHyphens w:val="true"/>
              <w:overflowPunct w:val="false"/>
              <w:bidi w:val="0"/>
              <w:spacing w:before="0" w:after="0"/>
              <w:ind w:left="4479" w:right="-227" w:hanging="0"/>
              <w:jc w:val="both"/>
              <w:rPr/>
            </w:pPr>
            <w:r>
              <w:rPr>
                <w:sz w:val="23"/>
                <w:szCs w:val="23"/>
              </w:rPr>
              <w:t>П</w:t>
            </w:r>
            <w:r>
              <w:rPr>
                <w:sz w:val="23"/>
                <w:szCs w:val="23"/>
              </w:rPr>
              <w:t>риложение № 1</w:t>
            </w:r>
          </w:p>
          <w:p>
            <w:pPr>
              <w:pStyle w:val="13"/>
              <w:widowControl w:val="false"/>
              <w:suppressAutoHyphens w:val="true"/>
              <w:overflowPunct w:val="false"/>
              <w:bidi w:val="0"/>
              <w:spacing w:before="0" w:after="0"/>
              <w:ind w:left="4479" w:right="-227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 договору № ____/25 от ____.____.20___ года</w:t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</w:r>
          </w:p>
          <w:p>
            <w:pPr>
              <w:pStyle w:val="13"/>
              <w:widowControl w:val="false"/>
              <w:ind w:left="0" w:right="-183" w:hanging="0"/>
              <w:jc w:val="both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</w:r>
          </w:p>
        </w:tc>
      </w:tr>
      <w:tr>
        <w:trPr>
          <w:trHeight w:val="589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3"/>
                <w:szCs w:val="23"/>
              </w:rPr>
              <w:t>Плата за услуги в рублях в месяц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</w:tr>
      <w:tr>
        <w:trPr>
          <w:trHeight w:val="260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Оценочная стоимость имущества «Заказчика», находящегося на объекте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tabs>
                <w:tab w:val="clear" w:pos="708"/>
                <w:tab w:val="left" w:pos="6180" w:leader="none"/>
              </w:tabs>
              <w:ind w:left="0" w:right="-183" w:hanging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Выезд нарядов полиции по ложному сигналу с объектов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5600" w:leader="none"/>
              </w:tabs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Члены семьи и доверенные лица «Заказчика», обладающие равными правами в пользовании «Комплексом»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260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8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Перечень ключей от «Объекта, входящих в комплект, передаваемых «Исполнителю»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6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46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20" w:hRule="atLeast"/>
          <w:cantSplit w:val="true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numPr>
                <w:ilvl w:val="0"/>
                <w:numId w:val="2"/>
              </w:numPr>
              <w:ind w:left="720" w:right="34" w:hanging="36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Места возможного проникновения на «Объект», от оборудования которых техническими средствами охраны «Заказчик» отказался</w:t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318" w:hRule="atLeast"/>
          <w:cantSplit w:val="true"/>
        </w:trPr>
        <w:tc>
          <w:tcPr>
            <w:tcW w:w="36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5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3"/>
              <w:widowControl w:val="false"/>
              <w:ind w:left="0" w:right="-183" w:hanging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</w:tbl>
    <w:p>
      <w:pPr>
        <w:pStyle w:val="13"/>
        <w:ind w:left="0" w:right="-659" w:hanging="0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13"/>
        <w:ind w:left="0" w:right="-659" w:hanging="0"/>
        <w:rPr>
          <w:sz w:val="23"/>
          <w:szCs w:val="23"/>
        </w:rPr>
      </w:pPr>
      <w:r>
        <w:rPr>
          <w:sz w:val="23"/>
          <w:szCs w:val="23"/>
        </w:rPr>
        <w:t>Примечание:</w:t>
      </w:r>
    </w:p>
    <w:p>
      <w:pPr>
        <w:pStyle w:val="Normal"/>
        <w:widowControl/>
        <w:ind w:left="0" w:right="-27" w:firstLine="708"/>
        <w:rPr>
          <w:sz w:val="23"/>
          <w:szCs w:val="23"/>
        </w:rPr>
      </w:pPr>
      <w:r>
        <w:rPr>
          <w:sz w:val="23"/>
          <w:szCs w:val="23"/>
        </w:rPr>
        <w:t>1.   Приложение составляется в 2-х экземплярах по 1-му для каждой стороны.</w:t>
      </w:r>
    </w:p>
    <w:p>
      <w:pPr>
        <w:pStyle w:val="BodyTextIndent2"/>
        <w:rPr>
          <w:sz w:val="23"/>
          <w:szCs w:val="23"/>
        </w:rPr>
      </w:pPr>
      <w:r>
        <w:rPr>
          <w:sz w:val="23"/>
          <w:szCs w:val="23"/>
        </w:rPr>
        <w:t>2. На момент заключения договора «ЗАКАЗЧИК» ознакомлен с требованиями «ИСПОЛНИТЕЛЯ» по технической укрепленности помещений с личным имуществом, обучен правилам пользования «Комплексом» и обеспечен соответствующими памятками.</w:t>
      </w:r>
    </w:p>
    <w:p>
      <w:pPr>
        <w:pStyle w:val="Normal"/>
        <w:widowControl w:val="false"/>
        <w:suppressAutoHyphens w:val="true"/>
        <w:overflowPunct w:val="true"/>
        <w:bidi w:val="0"/>
        <w:spacing w:before="0" w:after="0"/>
        <w:ind w:left="0" w:right="-57" w:firstLine="680"/>
        <w:jc w:val="both"/>
        <w:textAlignment w:val="baseline"/>
        <w:rPr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b w:val="false"/>
          <w:bCs w:val="false"/>
          <w:i w:val="false"/>
          <w:iCs w:val="false"/>
          <w:sz w:val="23"/>
          <w:szCs w:val="23"/>
          <w:u w:val="none"/>
        </w:rPr>
        <w:t>3. В случае невозможности осмотра «Объекта» по причине не сдачи ключей «ЗАКАЗЧИКОМ», «ИСПОЛНИТЕЛЬ» снимает с себя ответственность за сохранность имущества  «ЗАКАЗЧИКА».</w:t>
      </w:r>
    </w:p>
    <w:p>
      <w:pPr>
        <w:pStyle w:val="Normal"/>
        <w:ind w:left="708" w:right="-27" w:hanging="0"/>
        <w:jc w:val="both"/>
        <w:rPr>
          <w:b/>
          <w:b/>
          <w:bCs/>
          <w:sz w:val="23"/>
          <w:szCs w:val="23"/>
        </w:rPr>
      </w:pPr>
      <w:r>
        <w:rPr>
          <w:b w:val="false"/>
          <w:bCs w:val="false"/>
          <w:i w:val="false"/>
          <w:iCs w:val="false"/>
          <w:sz w:val="23"/>
          <w:szCs w:val="23"/>
          <w:u w:val="none"/>
        </w:rPr>
        <w:t xml:space="preserve">                                             </w:t>
      </w:r>
      <w:r>
        <w:rPr>
          <w:b w:val="false"/>
          <w:bCs w:val="false"/>
          <w:i w:val="false"/>
          <w:iCs w:val="false"/>
          <w:sz w:val="23"/>
          <w:szCs w:val="23"/>
          <w:u w:val="none"/>
        </w:rPr>
        <w:tab/>
      </w:r>
      <w:r>
        <w:rPr>
          <w:b/>
          <w:bCs/>
          <w:sz w:val="23"/>
          <w:szCs w:val="23"/>
        </w:rPr>
        <w:tab/>
        <w:tab/>
        <w:tab/>
        <w:tab/>
      </w:r>
    </w:p>
    <w:p>
      <w:pPr>
        <w:pStyle w:val="13"/>
        <w:ind w:left="0" w:right="-659" w:hanging="0"/>
        <w:rPr>
          <w:b/>
          <w:b/>
          <w:sz w:val="23"/>
          <w:szCs w:val="23"/>
        </w:rPr>
      </w:pPr>
      <w:r>
        <w:rPr>
          <w:b/>
          <w:sz w:val="23"/>
          <w:szCs w:val="23"/>
        </w:rPr>
      </w:r>
    </w:p>
    <w:p>
      <w:pPr>
        <w:pStyle w:val="13"/>
        <w:ind w:left="0" w:right="-659" w:firstLine="708"/>
        <w:rPr>
          <w:b/>
          <w:b/>
          <w:sz w:val="23"/>
          <w:szCs w:val="23"/>
        </w:rPr>
      </w:pPr>
      <w:r>
        <w:rPr>
          <w:rFonts w:eastAsia="Times New Roman" w:cs="Times New Roman"/>
          <w:b/>
          <w:color w:val="auto"/>
          <w:kern w:val="0"/>
          <w:sz w:val="23"/>
          <w:szCs w:val="23"/>
          <w:lang w:val="ru-RU" w:eastAsia="ru-RU" w:bidi="ar-SA"/>
        </w:rPr>
        <w:t>Н</w:t>
      </w:r>
      <w:r>
        <w:rPr>
          <w:b/>
          <w:sz w:val="23"/>
          <w:szCs w:val="23"/>
        </w:rPr>
        <w:t>ачальник ФГКУ «УВО ВНГ России                                           «Заказчик»</w:t>
      </w:r>
    </w:p>
    <w:p>
      <w:pPr>
        <w:pStyle w:val="13"/>
        <w:ind w:left="0" w:right="-659" w:firstLine="708"/>
        <w:rPr>
          <w:b/>
          <w:b/>
          <w:sz w:val="23"/>
          <w:szCs w:val="23"/>
        </w:rPr>
      </w:pPr>
      <w:r>
        <w:rPr>
          <w:b/>
          <w:sz w:val="23"/>
          <w:szCs w:val="23"/>
        </w:rPr>
        <w:t xml:space="preserve">по Московской области» </w:t>
      </w:r>
    </w:p>
    <w:p>
      <w:pPr>
        <w:pStyle w:val="13"/>
        <w:ind w:left="0" w:right="-1326" w:firstLine="708"/>
        <w:rPr/>
      </w:pPr>
      <w:r>
        <w:rPr>
          <w:b/>
          <w:sz w:val="23"/>
          <w:szCs w:val="23"/>
        </w:rPr>
        <w:t>________________ /____________/</w:t>
        <w:tab/>
        <w:tab/>
        <w:t xml:space="preserve">                 _____________ /_______________</w:t>
      </w:r>
      <w:r>
        <w:rPr>
          <w:b/>
          <w:i w:val="false"/>
          <w:iCs w:val="false"/>
          <w:sz w:val="23"/>
          <w:szCs w:val="23"/>
        </w:rPr>
        <w:t>/</w:t>
      </w:r>
    </w:p>
    <w:p>
      <w:pPr>
        <w:pStyle w:val="13"/>
        <w:ind w:left="0" w:right="-1326" w:firstLine="708"/>
        <w:rPr/>
      </w:pPr>
      <w:r>
        <w:rPr>
          <w:b/>
          <w:i w:val="false"/>
          <w:iCs w:val="false"/>
          <w:sz w:val="23"/>
          <w:szCs w:val="23"/>
        </w:rPr>
        <w:t>«____</w:t>
      </w:r>
      <w:r>
        <w:rPr>
          <w:b/>
          <w:sz w:val="23"/>
          <w:szCs w:val="23"/>
        </w:rPr>
        <w:t xml:space="preserve"> » __________________20__ г.</w:t>
        <w:tab/>
        <w:t xml:space="preserve">                «     » _________________    2025 г.</w:t>
      </w:r>
    </w:p>
    <w:p>
      <w:pPr>
        <w:pStyle w:val="Normal"/>
        <w:widowControl/>
        <w:ind w:left="0" w:right="-27" w:hanging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</w:t>
      </w:r>
      <w:r>
        <w:rPr>
          <w:color w:val="000000"/>
          <w:sz w:val="23"/>
          <w:szCs w:val="23"/>
        </w:rPr>
        <w:t xml:space="preserve">М.П. </w:t>
      </w:r>
    </w:p>
    <w:p>
      <w:pPr>
        <w:pStyle w:val="13"/>
        <w:ind w:left="0" w:right="-659" w:hanging="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13"/>
        <w:ind w:left="0" w:right="-659" w:hanging="0"/>
        <w:jc w:val="both"/>
        <w:rPr/>
      </w:pPr>
      <w:r>
        <w:rPr/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701" w:right="851" w:header="0" w:top="851" w:footer="720" w:bottom="851" w:gutter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rPr/>
      </w:pPr>
      <w:r>
        <w:rPr/>
      </w:r>
    </w:p>
    <w:sectPr>
      <w:type w:val="continuous"/>
      <w:pgSz w:w="11906" w:h="16838"/>
      <w:pgMar w:left="1701" w:right="851" w:header="0" w:top="851" w:footer="720" w:bottom="851" w:gutter="0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PT Sans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jc w:val="both"/>
      <w:rPr/>
    </w:pPr>
    <w:r>
      <w:rPr>
        <w:sz w:val="10"/>
      </w:rPr>
      <w:t xml:space="preserve">*- </w:t>
    </w:r>
    <w:r>
      <w:rPr>
        <w:rFonts w:ascii="Arial" w:hAnsi="Arial"/>
        <w:b/>
        <w:i/>
        <w:sz w:val="10"/>
      </w:rPr>
      <w:t>При оплате через банковскую систему РФ дополнительно к сумме ежемесячной оплаты банком взимается комиссионный сбор, установленный конкретной банковской организацией.</w:t>
    </w:r>
  </w:p>
  <w:p>
    <w:pPr>
      <w:pStyle w:val="Style30"/>
      <w:widowControl/>
      <w:ind w:left="0" w:right="360" w:hanging="0"/>
      <w:rPr>
        <w:sz w:val="18"/>
      </w:rPr>
    </w:pPr>
    <w:r>
      <w:rPr>
        <w:sz w:val="18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1.%2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2.%3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3.%4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4.%5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5.%6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6.%7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7.%8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8.%9"/>
      <w:lvlJc w:val="right"/>
      <w:pPr>
        <w:tabs>
          <w:tab w:val="num" w:pos="6480"/>
        </w:tabs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embedSystemFonts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qFormat/>
    <w:pPr>
      <w:keepNext w:val="true"/>
      <w:numPr>
        <w:ilvl w:val="0"/>
        <w:numId w:val="0"/>
      </w:numPr>
      <w:spacing w:before="240" w:after="120"/>
      <w:outlineLvl w:val="0"/>
    </w:pPr>
    <w:rPr>
      <w:rFonts w:ascii="Arial" w:hAnsi="Arial"/>
      <w:b/>
      <w:kern w:val="2"/>
      <w:sz w:val="36"/>
    </w:rPr>
  </w:style>
  <w:style w:type="paragraph" w:styleId="2">
    <w:name w:val="Heading 2"/>
    <w:basedOn w:val="Normal"/>
    <w:qFormat/>
    <w:pPr>
      <w:keepNext w:val="true"/>
      <w:numPr>
        <w:ilvl w:val="0"/>
        <w:numId w:val="0"/>
      </w:numPr>
      <w:spacing w:before="160" w:after="120"/>
      <w:outlineLvl w:val="1"/>
    </w:pPr>
    <w:rPr>
      <w:rFonts w:ascii="Arial" w:hAnsi="Arial"/>
      <w:b/>
      <w:i/>
      <w:kern w:val="2"/>
      <w:sz w:val="28"/>
    </w:rPr>
  </w:style>
  <w:style w:type="paragraph" w:styleId="3">
    <w:name w:val="Heading 3"/>
    <w:basedOn w:val="Normal"/>
    <w:qFormat/>
    <w:pPr>
      <w:keepNext w:val="true"/>
      <w:numPr>
        <w:ilvl w:val="0"/>
        <w:numId w:val="0"/>
      </w:numPr>
      <w:spacing w:before="120" w:after="80"/>
      <w:outlineLvl w:val="2"/>
    </w:pPr>
    <w:rPr>
      <w:b/>
      <w:kern w:val="2"/>
      <w:sz w:val="24"/>
    </w:rPr>
  </w:style>
  <w:style w:type="paragraph" w:styleId="4">
    <w:name w:val="Heading 4"/>
    <w:basedOn w:val="Normal"/>
    <w:qFormat/>
    <w:pPr>
      <w:keepNext w:val="true"/>
      <w:numPr>
        <w:ilvl w:val="0"/>
        <w:numId w:val="0"/>
      </w:numPr>
      <w:spacing w:before="120" w:after="80"/>
      <w:outlineLvl w:val="3"/>
    </w:pPr>
    <w:rPr>
      <w:b/>
      <w:i/>
      <w:kern w:val="2"/>
      <w:sz w:val="24"/>
    </w:rPr>
  </w:style>
  <w:style w:type="paragraph" w:styleId="5">
    <w:name w:val="Heading 5"/>
    <w:basedOn w:val="Normal"/>
    <w:qFormat/>
    <w:pPr>
      <w:keepNext w:val="true"/>
      <w:numPr>
        <w:ilvl w:val="0"/>
        <w:numId w:val="0"/>
      </w:numPr>
      <w:spacing w:before="120" w:after="80"/>
      <w:outlineLvl w:val="4"/>
    </w:pPr>
    <w:rPr>
      <w:rFonts w:ascii="Arial" w:hAnsi="Arial"/>
      <w:b/>
      <w:kern w:val="2"/>
    </w:rPr>
  </w:style>
  <w:style w:type="paragraph" w:styleId="6">
    <w:name w:val="Heading 6"/>
    <w:basedOn w:val="Normal"/>
    <w:qFormat/>
    <w:pPr>
      <w:keepNext w:val="true"/>
      <w:numPr>
        <w:ilvl w:val="0"/>
        <w:numId w:val="0"/>
      </w:numPr>
      <w:spacing w:before="120" w:after="80"/>
      <w:outlineLvl w:val="5"/>
    </w:pPr>
    <w:rPr>
      <w:rFonts w:ascii="Arial" w:hAnsi="Arial"/>
      <w:b/>
      <w:i/>
      <w:kern w:val="2"/>
    </w:rPr>
  </w:style>
  <w:style w:type="paragraph" w:styleId="7">
    <w:name w:val="Heading 7"/>
    <w:basedOn w:val="Normal"/>
    <w:qFormat/>
    <w:pPr>
      <w:keepNext w:val="true"/>
      <w:numPr>
        <w:ilvl w:val="0"/>
        <w:numId w:val="0"/>
      </w:numPr>
      <w:spacing w:before="80" w:after="60"/>
      <w:outlineLvl w:val="6"/>
    </w:pPr>
    <w:rPr>
      <w:b/>
      <w:kern w:val="2"/>
    </w:rPr>
  </w:style>
  <w:style w:type="paragraph" w:styleId="8">
    <w:name w:val="Heading 8"/>
    <w:basedOn w:val="Normal"/>
    <w:qFormat/>
    <w:pPr>
      <w:keepNext w:val="true"/>
      <w:numPr>
        <w:ilvl w:val="0"/>
        <w:numId w:val="0"/>
      </w:numPr>
      <w:spacing w:before="80" w:after="60"/>
      <w:outlineLvl w:val="7"/>
    </w:pPr>
    <w:rPr>
      <w:b/>
      <w:i/>
      <w:kern w:val="2"/>
    </w:rPr>
  </w:style>
  <w:style w:type="paragraph" w:styleId="9">
    <w:name w:val="Heading 9"/>
    <w:basedOn w:val="Normal"/>
    <w:qFormat/>
    <w:pPr>
      <w:keepNext w:val="true"/>
      <w:numPr>
        <w:ilvl w:val="0"/>
        <w:numId w:val="0"/>
      </w:numPr>
      <w:spacing w:before="80" w:after="60"/>
      <w:outlineLvl w:val="8"/>
    </w:pPr>
    <w:rPr>
      <w:b/>
      <w:i/>
      <w:kern w:val="2"/>
    </w:rPr>
  </w:style>
  <w:style w:type="character" w:styleId="DefaultParagraphFont">
    <w:name w:val="Default Paragraph Font"/>
    <w:qFormat/>
    <w:rPr/>
  </w:style>
  <w:style w:type="character" w:styleId="Annotationreference">
    <w:name w:val="annotation reference"/>
    <w:basedOn w:val="DefaultParagraphFont"/>
    <w:qFormat/>
    <w:rPr>
      <w:sz w:val="16"/>
    </w:rPr>
  </w:style>
  <w:style w:type="character" w:styleId="Style5">
    <w:name w:val="Курсив"/>
    <w:qFormat/>
    <w:rPr>
      <w:i/>
      <w:sz w:val="20"/>
    </w:rPr>
  </w:style>
  <w:style w:type="character" w:styleId="Style6">
    <w:name w:val="Привязка концевой сноски"/>
    <w:rPr>
      <w:sz w:val="20"/>
      <w:vertAlign w:val="superscript"/>
    </w:rPr>
  </w:style>
  <w:style w:type="character" w:styleId="EndnoteCharacters">
    <w:name w:val="Endnote Characters"/>
    <w:basedOn w:val="DefaultParagraphFont"/>
    <w:qFormat/>
    <w:rPr>
      <w:sz w:val="20"/>
      <w:vertAlign w:val="superscript"/>
    </w:rPr>
  </w:style>
  <w:style w:type="character" w:styleId="Style7">
    <w:name w:val="Привязка сноски"/>
    <w:rPr>
      <w:sz w:val="20"/>
      <w:vertAlign w:val="superscript"/>
    </w:rPr>
  </w:style>
  <w:style w:type="character" w:styleId="FootnoteCharacters">
    <w:name w:val="Footnote Characters"/>
    <w:basedOn w:val="DefaultParagraphFont"/>
    <w:qFormat/>
    <w:rPr>
      <w:sz w:val="20"/>
      <w:vertAlign w:val="superscript"/>
    </w:rPr>
  </w:style>
  <w:style w:type="character" w:styleId="Style8">
    <w:name w:val="Элемент глоссария"/>
    <w:qFormat/>
    <w:rPr>
      <w:b/>
      <w:sz w:val="20"/>
    </w:rPr>
  </w:style>
  <w:style w:type="character" w:styleId="Style9">
    <w:name w:val="Полужирный курсив"/>
    <w:qFormat/>
    <w:rPr>
      <w:b/>
      <w:i/>
      <w:sz w:val="20"/>
    </w:rPr>
  </w:style>
  <w:style w:type="character" w:styleId="Linenumber">
    <w:name w:val="line number"/>
    <w:basedOn w:val="DefaultParagraphFont"/>
    <w:qFormat/>
    <w:rPr>
      <w:rFonts w:ascii="Arial" w:hAnsi="Arial"/>
      <w:sz w:val="18"/>
    </w:rPr>
  </w:style>
  <w:style w:type="character" w:styleId="Pagenumber">
    <w:name w:val="page number"/>
    <w:basedOn w:val="DefaultParagraphFont"/>
    <w:qFormat/>
    <w:rPr>
      <w:b/>
      <w:sz w:val="20"/>
    </w:rPr>
  </w:style>
  <w:style w:type="character" w:styleId="Style10">
    <w:name w:val="Верхний индекс"/>
    <w:qFormat/>
    <w:rPr>
      <w:sz w:val="20"/>
      <w:vertAlign w:val="superscript"/>
    </w:rPr>
  </w:style>
  <w:style w:type="character" w:styleId="Style11">
    <w:name w:val="Интернет-ссылка"/>
    <w:basedOn w:val="DefaultParagraphFont"/>
    <w:rPr>
      <w:color w:val="0000FF"/>
      <w:u w:val="single"/>
    </w:rPr>
  </w:style>
  <w:style w:type="character" w:styleId="Style12">
    <w:name w:val="Символ концевой сноски"/>
    <w:qFormat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480" w:before="0" w:after="160"/>
    </w:pPr>
    <w:rPr/>
  </w:style>
  <w:style w:type="paragraph" w:styleId="Style15">
    <w:name w:val="List"/>
    <w:basedOn w:val="Style14"/>
    <w:pPr>
      <w:tabs>
        <w:tab w:val="clear" w:pos="708"/>
        <w:tab w:val="left" w:pos="720" w:leader="none"/>
      </w:tabs>
      <w:spacing w:before="0" w:after="80"/>
      <w:ind w:left="720" w:right="0" w:hanging="360"/>
    </w:pPr>
    <w:rPr/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Annotationtext">
    <w:name w:val="annotation text"/>
    <w:basedOn w:val="Normal"/>
    <w:qFormat/>
    <w:pPr>
      <w:tabs>
        <w:tab w:val="clear" w:pos="708"/>
        <w:tab w:val="left" w:pos="187" w:leader="none"/>
      </w:tabs>
      <w:spacing w:lineRule="exact" w:line="220" w:before="0" w:after="120"/>
      <w:ind w:left="187" w:right="0" w:hanging="187"/>
    </w:pPr>
    <w:rPr/>
  </w:style>
  <w:style w:type="paragraph" w:styleId="Style18">
    <w:name w:val="Строка Внимание"/>
    <w:basedOn w:val="Style14"/>
    <w:qFormat/>
    <w:pPr/>
    <w:rPr>
      <w:b/>
      <w:i/>
    </w:rPr>
  </w:style>
  <w:style w:type="paragraph" w:styleId="Style19">
    <w:name w:val="Автор"/>
    <w:basedOn w:val="Style14"/>
    <w:qFormat/>
    <w:pPr>
      <w:spacing w:before="960" w:after="160"/>
      <w:jc w:val="center"/>
    </w:pPr>
    <w:rPr>
      <w:b/>
      <w:sz w:val="28"/>
    </w:rPr>
  </w:style>
  <w:style w:type="paragraph" w:styleId="BlockQuotation">
    <w:name w:val="Block Quotation"/>
    <w:basedOn w:val="Style14"/>
    <w:qFormat/>
    <w:pPr>
      <w:keepLines/>
      <w:ind w:left="720" w:right="720" w:hanging="0"/>
    </w:pPr>
    <w:rPr>
      <w:i/>
    </w:rPr>
  </w:style>
  <w:style w:type="paragraph" w:styleId="Style20">
    <w:name w:val="Цитата первая"/>
    <w:basedOn w:val="BlockQuotation"/>
    <w:qFormat/>
    <w:pPr>
      <w:spacing w:before="120" w:after="160"/>
    </w:pPr>
    <w:rPr/>
  </w:style>
  <w:style w:type="paragraph" w:styleId="Style21">
    <w:name w:val="Цитата последняя"/>
    <w:basedOn w:val="BlockQuotation"/>
    <w:qFormat/>
    <w:pPr>
      <w:spacing w:before="0" w:after="240"/>
    </w:pPr>
    <w:rPr/>
  </w:style>
  <w:style w:type="paragraph" w:styleId="Style22">
    <w:name w:val="Body Text Indent"/>
    <w:basedOn w:val="Style14"/>
    <w:pPr>
      <w:ind w:left="360" w:right="0" w:hanging="0"/>
    </w:pPr>
    <w:rPr/>
  </w:style>
  <w:style w:type="paragraph" w:styleId="Style23">
    <w:name w:val="Основной текст вместе"/>
    <w:basedOn w:val="Style14"/>
    <w:qFormat/>
    <w:pPr>
      <w:keepNext w:val="true"/>
    </w:pPr>
    <w:rPr/>
  </w:style>
  <w:style w:type="paragraph" w:styleId="Caption">
    <w:name w:val="caption"/>
    <w:basedOn w:val="Normal"/>
    <w:qFormat/>
    <w:pPr>
      <w:spacing w:before="120" w:after="160"/>
    </w:pPr>
    <w:rPr>
      <w:i/>
      <w:sz w:val="18"/>
    </w:rPr>
  </w:style>
  <w:style w:type="paragraph" w:styleId="Style24">
    <w:name w:val="Метка главы"/>
    <w:basedOn w:val="Normal"/>
    <w:qFormat/>
    <w:pPr>
      <w:keepNext w:val="true"/>
      <w:spacing w:before="360" w:after="0"/>
      <w:jc w:val="center"/>
    </w:pPr>
    <w:rPr>
      <w:rFonts w:ascii="Arial" w:hAnsi="Arial"/>
      <w:b/>
      <w:kern w:val="2"/>
      <w:sz w:val="24"/>
      <w:u w:val="single"/>
    </w:rPr>
  </w:style>
  <w:style w:type="paragraph" w:styleId="Style25">
    <w:name w:val="Подзаголовок главы"/>
    <w:basedOn w:val="Normal"/>
    <w:qFormat/>
    <w:pPr>
      <w:keepNext w:val="true"/>
      <w:keepLines/>
      <w:spacing w:before="360" w:after="360"/>
      <w:jc w:val="center"/>
    </w:pPr>
    <w:rPr>
      <w:rFonts w:ascii="Arial" w:hAnsi="Arial"/>
      <w:i/>
      <w:kern w:val="2"/>
      <w:sz w:val="28"/>
    </w:rPr>
  </w:style>
  <w:style w:type="paragraph" w:styleId="Style26">
    <w:name w:val="Заголовок главы"/>
    <w:basedOn w:val="Normal"/>
    <w:qFormat/>
    <w:pPr>
      <w:keepNext w:val="true"/>
      <w:keepLines/>
      <w:spacing w:before="600" w:after="0"/>
      <w:jc w:val="center"/>
    </w:pPr>
    <w:rPr>
      <w:rFonts w:ascii="Arial" w:hAnsi="Arial"/>
      <w:b/>
      <w:kern w:val="2"/>
      <w:sz w:val="32"/>
    </w:rPr>
  </w:style>
  <w:style w:type="paragraph" w:styleId="11">
    <w:name w:val="Дата1"/>
    <w:basedOn w:val="Style14"/>
    <w:qFormat/>
    <w:pPr>
      <w:spacing w:before="960" w:after="160"/>
      <w:jc w:val="center"/>
    </w:pPr>
    <w:rPr>
      <w:b/>
      <w:sz w:val="28"/>
    </w:rPr>
  </w:style>
  <w:style w:type="paragraph" w:styleId="Style27">
    <w:name w:val="Метка документа"/>
    <w:basedOn w:val="Normal"/>
    <w:qFormat/>
    <w:pPr>
      <w:keepNext w:val="true"/>
      <w:spacing w:before="240" w:after="360"/>
    </w:pPr>
    <w:rPr>
      <w:b/>
      <w:kern w:val="2"/>
      <w:sz w:val="36"/>
    </w:rPr>
  </w:style>
  <w:style w:type="paragraph" w:styleId="Style28">
    <w:name w:val="Endnote Text"/>
    <w:basedOn w:val="Normal"/>
    <w:pPr>
      <w:tabs>
        <w:tab w:val="clear" w:pos="708"/>
        <w:tab w:val="left" w:pos="187" w:leader="none"/>
      </w:tabs>
      <w:spacing w:lineRule="exact" w:line="220" w:before="0" w:after="120"/>
      <w:ind w:left="187" w:right="0" w:hanging="187"/>
    </w:pPr>
    <w:rPr>
      <w:sz w:val="18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Footer"/>
    <w:basedOn w:val="Normal"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1">
    <w:name w:val="Нижн.колонтитул четн."/>
    <w:basedOn w:val="Style30"/>
    <w:qFormat/>
    <w:pPr/>
    <w:rPr/>
  </w:style>
  <w:style w:type="paragraph" w:styleId="Style32">
    <w:name w:val="Нижн.колонтитул первый"/>
    <w:basedOn w:val="Style30"/>
    <w:qFormat/>
    <w:pPr>
      <w:jc w:val="center"/>
    </w:pPr>
    <w:rPr/>
  </w:style>
  <w:style w:type="paragraph" w:styleId="Style33">
    <w:name w:val="Нижн.колонтитул нечетн."/>
    <w:basedOn w:val="Style30"/>
    <w:qFormat/>
    <w:pPr>
      <w:tabs>
        <w:tab w:val="right" w:pos="0" w:leader="none"/>
        <w:tab w:val="center" w:pos="4320" w:leader="none"/>
        <w:tab w:val="right" w:pos="8640" w:leader="none"/>
      </w:tabs>
      <w:jc w:val="right"/>
    </w:pPr>
    <w:rPr/>
  </w:style>
  <w:style w:type="paragraph" w:styleId="Style34">
    <w:name w:val="Базовая сноска"/>
    <w:basedOn w:val="Normal"/>
    <w:qFormat/>
    <w:pPr>
      <w:tabs>
        <w:tab w:val="clear" w:pos="708"/>
        <w:tab w:val="left" w:pos="187" w:leader="none"/>
      </w:tabs>
      <w:spacing w:lineRule="exact" w:line="220"/>
      <w:ind w:left="187" w:right="0" w:hanging="187"/>
    </w:pPr>
    <w:rPr>
      <w:sz w:val="18"/>
    </w:rPr>
  </w:style>
  <w:style w:type="paragraph" w:styleId="Style35">
    <w:name w:val="Footnote Text"/>
    <w:basedOn w:val="Style34"/>
    <w:pPr>
      <w:spacing w:before="0" w:after="120"/>
    </w:pPr>
    <w:rPr/>
  </w:style>
  <w:style w:type="paragraph" w:styleId="Style36">
    <w:name w:val="Определение глоссария"/>
    <w:basedOn w:val="Style14"/>
    <w:qFormat/>
    <w:pPr>
      <w:spacing w:lineRule="auto" w:line="240"/>
      <w:ind w:left="547" w:right="0" w:hanging="547"/>
    </w:pPr>
    <w:rPr/>
  </w:style>
  <w:style w:type="paragraph" w:styleId="Style37">
    <w:name w:val="Header"/>
    <w:basedOn w:val="Normal"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8">
    <w:name w:val="Верхн.колонтитул базовый"/>
    <w:basedOn w:val="Normal"/>
    <w:qFormat/>
    <w:pPr>
      <w:keepLines/>
      <w:tabs>
        <w:tab w:val="clear" w:pos="708"/>
        <w:tab w:val="center" w:pos="4320" w:leader="none"/>
        <w:tab w:val="right" w:pos="8640" w:leader="none"/>
      </w:tabs>
    </w:pPr>
    <w:rPr/>
  </w:style>
  <w:style w:type="paragraph" w:styleId="Style39">
    <w:name w:val="Верхн.колонтитул четн."/>
    <w:basedOn w:val="Style37"/>
    <w:qFormat/>
    <w:pPr/>
    <w:rPr/>
  </w:style>
  <w:style w:type="paragraph" w:styleId="Style40">
    <w:name w:val="Верхн.колонтитул первый"/>
    <w:basedOn w:val="Style37"/>
    <w:qFormat/>
    <w:pPr>
      <w:jc w:val="center"/>
    </w:pPr>
    <w:rPr/>
  </w:style>
  <w:style w:type="paragraph" w:styleId="Style41">
    <w:name w:val="Верхн.колонтитул нечетн."/>
    <w:basedOn w:val="Style37"/>
    <w:qFormat/>
    <w:pPr>
      <w:tabs>
        <w:tab w:val="right" w:pos="0" w:leader="none"/>
        <w:tab w:val="center" w:pos="4320" w:leader="none"/>
        <w:tab w:val="right" w:pos="8640" w:leader="none"/>
      </w:tabs>
      <w:jc w:val="right"/>
    </w:pPr>
    <w:rPr/>
  </w:style>
  <w:style w:type="paragraph" w:styleId="Style42">
    <w:name w:val="Базовый заголовок"/>
    <w:basedOn w:val="Normal"/>
    <w:qFormat/>
    <w:pPr>
      <w:keepNext w:val="true"/>
      <w:keepLines/>
      <w:spacing w:before="240" w:after="120"/>
    </w:pPr>
    <w:rPr>
      <w:rFonts w:ascii="Arial" w:hAnsi="Arial"/>
      <w:b/>
      <w:kern w:val="2"/>
      <w:sz w:val="36"/>
    </w:rPr>
  </w:style>
  <w:style w:type="paragraph" w:styleId="Index1">
    <w:name w:val="index 1"/>
    <w:basedOn w:val="Normal"/>
    <w:qFormat/>
    <w:pPr>
      <w:tabs>
        <w:tab w:val="clear" w:pos="708"/>
        <w:tab w:val="right" w:pos="3960" w:leader="dot"/>
      </w:tabs>
      <w:ind w:left="720" w:right="0" w:hanging="720"/>
    </w:pPr>
    <w:rPr/>
  </w:style>
  <w:style w:type="paragraph" w:styleId="Index2">
    <w:name w:val="index 2"/>
    <w:basedOn w:val="Normal"/>
    <w:qFormat/>
    <w:pPr>
      <w:tabs>
        <w:tab w:val="clear" w:pos="708"/>
        <w:tab w:val="right" w:pos="3960" w:leader="dot"/>
      </w:tabs>
      <w:ind w:left="1080" w:right="0" w:hanging="720"/>
    </w:pPr>
    <w:rPr/>
  </w:style>
  <w:style w:type="paragraph" w:styleId="Index3">
    <w:name w:val="index 3"/>
    <w:basedOn w:val="Normal"/>
    <w:qFormat/>
    <w:pPr>
      <w:tabs>
        <w:tab w:val="clear" w:pos="708"/>
        <w:tab w:val="right" w:pos="3960" w:leader="dot"/>
      </w:tabs>
      <w:ind w:left="1440" w:right="0" w:hanging="720"/>
    </w:pPr>
    <w:rPr/>
  </w:style>
  <w:style w:type="paragraph" w:styleId="Index4">
    <w:name w:val="index 4"/>
    <w:basedOn w:val="Normal"/>
    <w:qFormat/>
    <w:pPr>
      <w:tabs>
        <w:tab w:val="clear" w:pos="708"/>
        <w:tab w:val="right" w:pos="3960" w:leader="dot"/>
      </w:tabs>
      <w:ind w:left="1800" w:right="0" w:hanging="720"/>
    </w:pPr>
    <w:rPr/>
  </w:style>
  <w:style w:type="paragraph" w:styleId="Index5">
    <w:name w:val="index 5"/>
    <w:basedOn w:val="Normal"/>
    <w:qFormat/>
    <w:pPr>
      <w:tabs>
        <w:tab w:val="clear" w:pos="708"/>
        <w:tab w:val="right" w:pos="3960" w:leader="dot"/>
      </w:tabs>
      <w:ind w:left="2160" w:right="0" w:hanging="720"/>
    </w:pPr>
    <w:rPr/>
  </w:style>
  <w:style w:type="paragraph" w:styleId="Index6">
    <w:name w:val="index 6"/>
    <w:basedOn w:val="Normal"/>
    <w:qFormat/>
    <w:pPr>
      <w:tabs>
        <w:tab w:val="clear" w:pos="708"/>
        <w:tab w:val="right" w:pos="3960" w:leader="dot"/>
      </w:tabs>
      <w:ind w:left="1800" w:right="0" w:hanging="720"/>
    </w:pPr>
    <w:rPr/>
  </w:style>
  <w:style w:type="paragraph" w:styleId="Index7">
    <w:name w:val="index 7"/>
    <w:basedOn w:val="Normal"/>
    <w:qFormat/>
    <w:pPr>
      <w:tabs>
        <w:tab w:val="clear" w:pos="708"/>
        <w:tab w:val="right" w:pos="3960" w:leader="dot"/>
      </w:tabs>
      <w:ind w:left="2160" w:right="0" w:hanging="720"/>
    </w:pPr>
    <w:rPr/>
  </w:style>
  <w:style w:type="paragraph" w:styleId="Index8">
    <w:name w:val="index 8"/>
    <w:basedOn w:val="Normal"/>
    <w:qFormat/>
    <w:pPr>
      <w:tabs>
        <w:tab w:val="clear" w:pos="708"/>
        <w:tab w:val="right" w:pos="3960" w:leader="dot"/>
      </w:tabs>
      <w:ind w:left="2520" w:right="0" w:hanging="720"/>
    </w:pPr>
    <w:rPr/>
  </w:style>
  <w:style w:type="paragraph" w:styleId="Index9">
    <w:name w:val="index 9"/>
    <w:basedOn w:val="Normal"/>
    <w:qFormat/>
    <w:pPr>
      <w:tabs>
        <w:tab w:val="clear" w:pos="708"/>
        <w:tab w:val="right" w:pos="3960" w:leader="dot"/>
      </w:tabs>
      <w:ind w:left="2880" w:right="0" w:hanging="720"/>
    </w:pPr>
    <w:rPr/>
  </w:style>
  <w:style w:type="paragraph" w:styleId="Style43">
    <w:name w:val="Базовый указатель"/>
    <w:basedOn w:val="Normal"/>
    <w:qFormat/>
    <w:pPr>
      <w:tabs>
        <w:tab w:val="clear" w:pos="708"/>
        <w:tab w:val="right" w:pos="3960" w:leader="dot"/>
      </w:tabs>
      <w:ind w:left="720" w:right="0" w:hanging="720"/>
    </w:pPr>
    <w:rPr/>
  </w:style>
  <w:style w:type="paragraph" w:styleId="Indexheading">
    <w:name w:val="index heading"/>
    <w:basedOn w:val="Normal"/>
    <w:qFormat/>
    <w:pPr>
      <w:keepNext w:val="true"/>
      <w:spacing w:before="120" w:after="0"/>
    </w:pPr>
    <w:rPr>
      <w:rFonts w:ascii="Arial" w:hAnsi="Arial"/>
      <w:b/>
      <w:kern w:val="2"/>
      <w:sz w:val="28"/>
    </w:rPr>
  </w:style>
  <w:style w:type="paragraph" w:styleId="ListBullet3">
    <w:name w:val="List Bullet 3"/>
    <w:basedOn w:val="ListBullet"/>
    <w:qFormat/>
    <w:pPr>
      <w:ind w:left="1440" w:right="0" w:hanging="360"/>
    </w:pPr>
    <w:rPr/>
  </w:style>
  <w:style w:type="paragraph" w:styleId="ListBullet4">
    <w:name w:val="List Bullet 4"/>
    <w:basedOn w:val="ListBullet"/>
    <w:qFormat/>
    <w:pPr>
      <w:ind w:left="1800" w:right="0" w:hanging="360"/>
    </w:pPr>
    <w:rPr/>
  </w:style>
  <w:style w:type="paragraph" w:styleId="ListBullet5">
    <w:name w:val="List Bullet 5"/>
    <w:basedOn w:val="ListBullet"/>
    <w:qFormat/>
    <w:pPr>
      <w:ind w:left="2160" w:right="0" w:hanging="360"/>
    </w:pPr>
    <w:rPr/>
  </w:style>
  <w:style w:type="paragraph" w:styleId="ListNumber">
    <w:name w:val="List Number"/>
    <w:basedOn w:val="Style15"/>
    <w:qFormat/>
    <w:pPr>
      <w:spacing w:before="0" w:after="160"/>
    </w:pPr>
    <w:rPr/>
  </w:style>
  <w:style w:type="paragraph" w:styleId="ListBullet">
    <w:name w:val="List Bullet"/>
    <w:basedOn w:val="Style15"/>
    <w:qFormat/>
    <w:pPr>
      <w:spacing w:before="0" w:after="160"/>
    </w:pPr>
    <w:rPr/>
  </w:style>
  <w:style w:type="paragraph" w:styleId="ListBullet2">
    <w:name w:val="List Bullet 2"/>
    <w:basedOn w:val="ListBullet"/>
    <w:qFormat/>
    <w:pPr>
      <w:ind w:left="1080" w:right="0" w:hanging="360"/>
    </w:pPr>
    <w:rPr/>
  </w:style>
  <w:style w:type="paragraph" w:styleId="Style44">
    <w:name w:val="Список бюл. первый"/>
    <w:basedOn w:val="ListBullet"/>
    <w:qFormat/>
    <w:pPr>
      <w:spacing w:before="80" w:after="160"/>
    </w:pPr>
    <w:rPr/>
  </w:style>
  <w:style w:type="paragraph" w:styleId="Style45">
    <w:name w:val="Список бюл. последний"/>
    <w:basedOn w:val="ListBullet"/>
    <w:qFormat/>
    <w:pPr>
      <w:spacing w:before="0" w:after="240"/>
    </w:pPr>
    <w:rPr/>
  </w:style>
  <w:style w:type="paragraph" w:styleId="ListContinue">
    <w:name w:val="List Continue"/>
    <w:basedOn w:val="Style15"/>
    <w:qFormat/>
    <w:pPr>
      <w:spacing w:before="0" w:after="160"/>
    </w:pPr>
    <w:rPr/>
  </w:style>
  <w:style w:type="paragraph" w:styleId="ListContinue2">
    <w:name w:val="List Continue 2"/>
    <w:basedOn w:val="ListContinue"/>
    <w:qFormat/>
    <w:pPr>
      <w:ind w:left="1080" w:right="0" w:hanging="360"/>
    </w:pPr>
    <w:rPr/>
  </w:style>
  <w:style w:type="paragraph" w:styleId="ListContinue3">
    <w:name w:val="List Continue 3"/>
    <w:basedOn w:val="ListContinue"/>
    <w:qFormat/>
    <w:pPr>
      <w:ind w:left="1440" w:right="0" w:hanging="360"/>
    </w:pPr>
    <w:rPr/>
  </w:style>
  <w:style w:type="paragraph" w:styleId="ListContinue4">
    <w:name w:val="List Continue 4"/>
    <w:basedOn w:val="ListContinue"/>
    <w:qFormat/>
    <w:pPr>
      <w:ind w:left="1800" w:right="0" w:hanging="360"/>
    </w:pPr>
    <w:rPr/>
  </w:style>
  <w:style w:type="paragraph" w:styleId="ListContinue5">
    <w:name w:val="List Continue 5"/>
    <w:basedOn w:val="ListContinue"/>
    <w:qFormat/>
    <w:pPr>
      <w:ind w:left="2160" w:right="0" w:hanging="360"/>
    </w:pPr>
    <w:rPr/>
  </w:style>
  <w:style w:type="paragraph" w:styleId="Style46">
    <w:name w:val="Список первый"/>
    <w:basedOn w:val="Style15"/>
    <w:qFormat/>
    <w:pPr>
      <w:spacing w:before="80" w:after="80"/>
    </w:pPr>
    <w:rPr/>
  </w:style>
  <w:style w:type="paragraph" w:styleId="Style47">
    <w:name w:val="Список последний"/>
    <w:basedOn w:val="Style15"/>
    <w:qFormat/>
    <w:pPr>
      <w:spacing w:before="0" w:after="240"/>
    </w:pPr>
    <w:rPr/>
  </w:style>
  <w:style w:type="paragraph" w:styleId="ListNumber2">
    <w:name w:val="List Number 2"/>
    <w:basedOn w:val="ListNumber"/>
    <w:qFormat/>
    <w:pPr>
      <w:ind w:left="1080" w:right="0" w:hanging="360"/>
    </w:pPr>
    <w:rPr/>
  </w:style>
  <w:style w:type="paragraph" w:styleId="ListNumber3">
    <w:name w:val="List Number 3"/>
    <w:basedOn w:val="ListNumber"/>
    <w:qFormat/>
    <w:pPr>
      <w:ind w:left="1440" w:right="0" w:hanging="360"/>
    </w:pPr>
    <w:rPr/>
  </w:style>
  <w:style w:type="paragraph" w:styleId="ListNumber4">
    <w:name w:val="List Number 4"/>
    <w:basedOn w:val="ListNumber"/>
    <w:qFormat/>
    <w:pPr>
      <w:ind w:left="1800" w:right="0" w:hanging="360"/>
    </w:pPr>
    <w:rPr/>
  </w:style>
  <w:style w:type="paragraph" w:styleId="ListNumber5">
    <w:name w:val="List Number 5"/>
    <w:basedOn w:val="ListNumber"/>
    <w:qFormat/>
    <w:pPr>
      <w:ind w:left="2160" w:right="0" w:hanging="360"/>
    </w:pPr>
    <w:rPr/>
  </w:style>
  <w:style w:type="paragraph" w:styleId="Style48">
    <w:name w:val="Список нум. первый"/>
    <w:basedOn w:val="ListNumber"/>
    <w:qFormat/>
    <w:pPr>
      <w:spacing w:before="80" w:after="160"/>
    </w:pPr>
    <w:rPr/>
  </w:style>
  <w:style w:type="paragraph" w:styleId="Style49">
    <w:name w:val="Список нум. последний"/>
    <w:basedOn w:val="ListNumber"/>
    <w:qFormat/>
    <w:pPr>
      <w:spacing w:before="0" w:after="240"/>
    </w:pPr>
    <w:rPr/>
  </w:style>
  <w:style w:type="paragraph" w:styleId="Macro">
    <w:name w:val="macro"/>
    <w:basedOn w:val="Style14"/>
    <w:qFormat/>
    <w:pPr>
      <w:spacing w:lineRule="auto" w:line="240" w:before="0" w:after="120"/>
    </w:pPr>
    <w:rPr>
      <w:rFonts w:ascii="Courier New" w:hAnsi="Courier New"/>
    </w:rPr>
  </w:style>
  <w:style w:type="paragraph" w:styleId="Style50">
    <w:name w:val="Имя"/>
    <w:basedOn w:val="Style14"/>
    <w:qFormat/>
    <w:pPr>
      <w:jc w:val="center"/>
    </w:pPr>
    <w:rPr/>
  </w:style>
  <w:style w:type="paragraph" w:styleId="Style51">
    <w:name w:val="Метка части"/>
    <w:basedOn w:val="Style42"/>
    <w:qFormat/>
    <w:pPr>
      <w:spacing w:before="600" w:after="160"/>
      <w:jc w:val="center"/>
    </w:pPr>
    <w:rPr>
      <w:b w:val="false"/>
      <w:sz w:val="24"/>
      <w:u w:val="single"/>
    </w:rPr>
  </w:style>
  <w:style w:type="paragraph" w:styleId="Style52">
    <w:name w:val="Подзаголовок части"/>
    <w:basedOn w:val="Normal"/>
    <w:qFormat/>
    <w:pPr>
      <w:keepNext w:val="true"/>
      <w:spacing w:before="360" w:after="120"/>
      <w:jc w:val="center"/>
    </w:pPr>
    <w:rPr>
      <w:rFonts w:ascii="Arial" w:hAnsi="Arial"/>
      <w:i/>
      <w:kern w:val="2"/>
      <w:sz w:val="32"/>
    </w:rPr>
  </w:style>
  <w:style w:type="paragraph" w:styleId="Style53">
    <w:name w:val="Заголовок части"/>
    <w:basedOn w:val="Style42"/>
    <w:qFormat/>
    <w:pPr>
      <w:spacing w:before="600" w:after="120"/>
      <w:jc w:val="center"/>
    </w:pPr>
    <w:rPr/>
  </w:style>
  <w:style w:type="paragraph" w:styleId="Style54">
    <w:name w:val="Иллюстрация"/>
    <w:basedOn w:val="Style14"/>
    <w:qFormat/>
    <w:pPr>
      <w:keepNext w:val="true"/>
      <w:spacing w:lineRule="auto" w:line="240"/>
    </w:pPr>
    <w:rPr/>
  </w:style>
  <w:style w:type="paragraph" w:styleId="Style55">
    <w:name w:val="Заголовок раздела"/>
    <w:basedOn w:val="Style42"/>
    <w:qFormat/>
    <w:pPr>
      <w:spacing w:before="120" w:after="160"/>
    </w:pPr>
    <w:rPr>
      <w:sz w:val="28"/>
    </w:rPr>
  </w:style>
  <w:style w:type="paragraph" w:styleId="Style56">
    <w:name w:val="Метка раздела"/>
    <w:basedOn w:val="Style42"/>
    <w:qFormat/>
    <w:pPr>
      <w:spacing w:before="240" w:after="360"/>
      <w:jc w:val="center"/>
    </w:pPr>
    <w:rPr/>
  </w:style>
  <w:style w:type="paragraph" w:styleId="Style57">
    <w:name w:val="Subtitle"/>
    <w:basedOn w:val="Style58"/>
    <w:qFormat/>
    <w:pPr>
      <w:spacing w:before="0" w:after="240"/>
    </w:pPr>
    <w:rPr>
      <w:b w:val="false"/>
      <w:i/>
      <w:sz w:val="28"/>
    </w:rPr>
  </w:style>
  <w:style w:type="paragraph" w:styleId="Style58">
    <w:name w:val="Title"/>
    <w:basedOn w:val="Style42"/>
    <w:qFormat/>
    <w:pPr>
      <w:spacing w:before="360" w:after="160"/>
      <w:jc w:val="center"/>
    </w:pPr>
    <w:rPr>
      <w:sz w:val="40"/>
    </w:rPr>
  </w:style>
  <w:style w:type="paragraph" w:styleId="Style59">
    <w:name w:val="Подзаголовок обложки"/>
    <w:basedOn w:val="Normal"/>
    <w:qFormat/>
    <w:pPr>
      <w:keepNext w:val="true"/>
      <w:spacing w:before="240" w:after="160"/>
      <w:jc w:val="center"/>
    </w:pPr>
    <w:rPr>
      <w:rFonts w:ascii="Arial" w:hAnsi="Arial"/>
      <w:i/>
      <w:kern w:val="2"/>
      <w:sz w:val="36"/>
    </w:rPr>
  </w:style>
  <w:style w:type="paragraph" w:styleId="Tableofauthorities">
    <w:name w:val="table of authorities"/>
    <w:basedOn w:val="Normal"/>
    <w:qFormat/>
    <w:pPr>
      <w:tabs>
        <w:tab w:val="clear" w:pos="708"/>
        <w:tab w:val="right" w:pos="8640" w:leader="dot"/>
      </w:tabs>
      <w:ind w:left="360" w:right="0" w:hanging="360"/>
    </w:pPr>
    <w:rPr/>
  </w:style>
  <w:style w:type="paragraph" w:styleId="Tableoffigures">
    <w:name w:val="table of figures"/>
    <w:basedOn w:val="Normal"/>
    <w:qFormat/>
    <w:pPr>
      <w:tabs>
        <w:tab w:val="clear" w:pos="708"/>
        <w:tab w:val="right" w:pos="8640" w:leader="dot"/>
      </w:tabs>
      <w:ind w:left="720" w:right="0" w:hanging="720"/>
    </w:pPr>
    <w:rPr/>
  </w:style>
  <w:style w:type="paragraph" w:styleId="Style60">
    <w:name w:val="Заголовок обложки"/>
    <w:basedOn w:val="Style42"/>
    <w:qFormat/>
    <w:pPr>
      <w:spacing w:before="720" w:after="160"/>
      <w:jc w:val="center"/>
    </w:pPr>
    <w:rPr>
      <w:sz w:val="48"/>
    </w:rPr>
  </w:style>
  <w:style w:type="paragraph" w:styleId="Toaheading">
    <w:name w:val="toa heading"/>
    <w:basedOn w:val="Style55"/>
    <w:qFormat/>
    <w:pPr/>
    <w:rPr/>
  </w:style>
  <w:style w:type="paragraph" w:styleId="12">
    <w:name w:val="TOC 1"/>
    <w:basedOn w:val="Normal"/>
    <w:pPr>
      <w:tabs>
        <w:tab w:val="clear" w:pos="708"/>
        <w:tab w:val="right" w:pos="8640" w:leader="dot"/>
      </w:tabs>
      <w:spacing w:before="180" w:after="120"/>
    </w:pPr>
    <w:rPr>
      <w:rFonts w:ascii="Arial" w:hAnsi="Arial"/>
      <w:b/>
      <w:sz w:val="24"/>
    </w:rPr>
  </w:style>
  <w:style w:type="paragraph" w:styleId="21">
    <w:name w:val="TOC 2"/>
    <w:basedOn w:val="Normal"/>
    <w:pPr>
      <w:tabs>
        <w:tab w:val="clear" w:pos="708"/>
        <w:tab w:val="right" w:pos="8640" w:leader="dot"/>
      </w:tabs>
      <w:ind w:left="360" w:right="0" w:hanging="0"/>
    </w:pPr>
    <w:rPr/>
  </w:style>
  <w:style w:type="paragraph" w:styleId="31">
    <w:name w:val="TOC 3"/>
    <w:basedOn w:val="Normal"/>
    <w:pPr>
      <w:tabs>
        <w:tab w:val="clear" w:pos="708"/>
        <w:tab w:val="right" w:pos="8640" w:leader="dot"/>
      </w:tabs>
      <w:ind w:left="720" w:right="0" w:hanging="0"/>
    </w:pPr>
    <w:rPr/>
  </w:style>
  <w:style w:type="paragraph" w:styleId="41">
    <w:name w:val="TOC 4"/>
    <w:basedOn w:val="Normal"/>
    <w:pPr>
      <w:tabs>
        <w:tab w:val="clear" w:pos="708"/>
        <w:tab w:val="right" w:pos="8640" w:leader="dot"/>
      </w:tabs>
      <w:ind w:left="1080" w:right="0" w:hanging="0"/>
    </w:pPr>
    <w:rPr/>
  </w:style>
  <w:style w:type="paragraph" w:styleId="51">
    <w:name w:val="TOC 5"/>
    <w:basedOn w:val="Normal"/>
    <w:pPr>
      <w:tabs>
        <w:tab w:val="clear" w:pos="708"/>
        <w:tab w:val="right" w:pos="8640" w:leader="dot"/>
      </w:tabs>
      <w:ind w:left="1440" w:right="0" w:hanging="0"/>
    </w:pPr>
    <w:rPr/>
  </w:style>
  <w:style w:type="paragraph" w:styleId="61">
    <w:name w:val="TOC 6"/>
    <w:basedOn w:val="Normal"/>
    <w:pPr>
      <w:tabs>
        <w:tab w:val="clear" w:pos="708"/>
        <w:tab w:val="right" w:pos="8640" w:leader="dot"/>
      </w:tabs>
      <w:ind w:left="1800" w:right="0" w:hanging="0"/>
    </w:pPr>
    <w:rPr/>
  </w:style>
  <w:style w:type="paragraph" w:styleId="71">
    <w:name w:val="TOC 7"/>
    <w:basedOn w:val="Normal"/>
    <w:pPr>
      <w:tabs>
        <w:tab w:val="clear" w:pos="708"/>
        <w:tab w:val="right" w:pos="8640" w:leader="dot"/>
      </w:tabs>
      <w:ind w:left="2160" w:right="0" w:hanging="0"/>
    </w:pPr>
    <w:rPr/>
  </w:style>
  <w:style w:type="paragraph" w:styleId="81">
    <w:name w:val="TOC 8"/>
    <w:basedOn w:val="Normal"/>
    <w:pPr>
      <w:tabs>
        <w:tab w:val="clear" w:pos="708"/>
        <w:tab w:val="right" w:pos="8640" w:leader="dot"/>
      </w:tabs>
      <w:ind w:left="2520" w:right="0" w:hanging="0"/>
    </w:pPr>
    <w:rPr/>
  </w:style>
  <w:style w:type="paragraph" w:styleId="91">
    <w:name w:val="TOC 9"/>
    <w:basedOn w:val="Normal"/>
    <w:pPr>
      <w:tabs>
        <w:tab w:val="clear" w:pos="708"/>
        <w:tab w:val="right" w:pos="8640" w:leader="dot"/>
      </w:tabs>
      <w:ind w:left="2880" w:right="0" w:hanging="0"/>
    </w:pPr>
    <w:rPr/>
  </w:style>
  <w:style w:type="paragraph" w:styleId="Style61">
    <w:name w:val="Базовое оглавление"/>
    <w:basedOn w:val="Normal"/>
    <w:qFormat/>
    <w:pPr>
      <w:tabs>
        <w:tab w:val="clear" w:pos="708"/>
        <w:tab w:val="right" w:pos="8640" w:leader="dot"/>
      </w:tabs>
    </w:pPr>
    <w:rPr/>
  </w:style>
  <w:style w:type="paragraph" w:styleId="Envelopeaddress">
    <w:name w:val="envelope address"/>
    <w:basedOn w:val="Normal"/>
    <w:qFormat/>
    <w:pPr>
      <w:ind w:left="2880" w:right="0" w:hanging="0"/>
    </w:pPr>
    <w:rPr>
      <w:sz w:val="24"/>
    </w:rPr>
  </w:style>
  <w:style w:type="paragraph" w:styleId="MessageHeader">
    <w:name w:val="Message Header"/>
    <w:basedOn w:val="Normal"/>
    <w:qFormat/>
    <w:pPr>
      <w:ind w:left="1134" w:right="0" w:hanging="1134"/>
    </w:pPr>
    <w:rPr>
      <w:rFonts w:ascii="Arial" w:hAnsi="Arial"/>
      <w:sz w:val="24"/>
    </w:rPr>
  </w:style>
  <w:style w:type="paragraph" w:styleId="Envelopereturn">
    <w:name w:val="envelope return"/>
    <w:basedOn w:val="Normal"/>
    <w:qFormat/>
    <w:pPr/>
    <w:rPr/>
  </w:style>
  <w:style w:type="paragraph" w:styleId="Closing">
    <w:name w:val="Closing"/>
    <w:basedOn w:val="Normal"/>
    <w:qFormat/>
    <w:pPr>
      <w:ind w:left="4252" w:right="0" w:hanging="0"/>
    </w:pPr>
    <w:rPr/>
  </w:style>
  <w:style w:type="paragraph" w:styleId="NormalIndent">
    <w:name w:val="Normal Indent"/>
    <w:basedOn w:val="Normal"/>
    <w:qFormat/>
    <w:pPr>
      <w:ind w:left="708" w:right="0" w:hanging="0"/>
    </w:pPr>
    <w:rPr/>
  </w:style>
  <w:style w:type="paragraph" w:styleId="Style62">
    <w:name w:val="Signature"/>
    <w:basedOn w:val="Normal"/>
    <w:pPr>
      <w:ind w:left="4252" w:right="0" w:hanging="0"/>
    </w:pPr>
    <w:rPr/>
  </w:style>
  <w:style w:type="paragraph" w:styleId="BodyText3">
    <w:name w:val="Body Text 3"/>
    <w:basedOn w:val="Normal"/>
    <w:qFormat/>
    <w:pPr>
      <w:spacing w:before="0" w:after="120"/>
    </w:pPr>
    <w:rPr>
      <w:sz w:val="16"/>
      <w:szCs w:val="16"/>
    </w:rPr>
  </w:style>
  <w:style w:type="paragraph" w:styleId="BodyText2">
    <w:name w:val="Body Text 2"/>
    <w:basedOn w:val="Normal"/>
    <w:qFormat/>
    <w:pPr/>
    <w:rPr>
      <w:rFonts w:ascii="Arial" w:hAnsi="Arial"/>
      <w:sz w:val="12"/>
    </w:rPr>
  </w:style>
  <w:style w:type="paragraph" w:styleId="13">
    <w:name w:val="Обычный1"/>
    <w:qFormat/>
    <w:pPr>
      <w:widowControl/>
      <w:suppressAutoHyphens w:val="true"/>
      <w:kinsoku w:val="true"/>
      <w:overflowPunct w:val="false"/>
      <w:autoSpaceDE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spacing w:lineRule="atLeast" w:line="168"/>
      <w:ind w:left="0" w:right="0" w:firstLine="708"/>
      <w:jc w:val="both"/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2"/>
    <w:basedOn w:val="Normal"/>
    <w:qFormat/>
    <w:pPr>
      <w:jc w:val="both"/>
    </w:pPr>
    <w:rPr>
      <w:sz w:val="28"/>
    </w:rPr>
  </w:style>
  <w:style w:type="paragraph" w:styleId="Style63">
    <w:name w:val="Содержимое таблицы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hyperlink" Target="mailto:7012179@mail.ru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PapkaFis</Template>
  <TotalTime>3636</TotalTime>
  <Application>LibreOffice/6.4.7.2$Linux_X86_64 LibreOffice_project/40$Build-2</Application>
  <Pages>7</Pages>
  <Words>2357</Words>
  <Characters>17886</Characters>
  <CharactersWithSpaces>20483</CharactersWithSpaces>
  <Paragraphs>143</Paragraphs>
  <Company>Gulfstream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2020-09-03T05:59:00Z</dcterms:created>
  <dc:creator>Luba</dc:creator>
  <dc:description/>
  <dc:language>ru-RU</dc:language>
  <cp:lastModifiedBy/>
  <cp:lastPrinted>2025-03-17T14:42:48Z</cp:lastPrinted>
  <dcterms:modified xsi:type="dcterms:W3CDTF">2025-04-29T15:43:23Z</dcterms:modified>
  <cp:revision>91</cp:revision>
  <dc:subject/>
  <dc:title>г. Москва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Gulfstream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