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jc w:val="center"/>
        <w:rPr>
          <w:b/>
          <w:b/>
          <w:sz w:val="23"/>
          <w:szCs w:val="23"/>
        </w:rPr>
      </w:pPr>
      <w:r>
        <w:rPr>
          <w:b/>
          <w:sz w:val="23"/>
          <w:szCs w:val="23"/>
        </w:rPr>
      </w:r>
    </w:p>
    <w:p>
      <w:pPr>
        <w:pStyle w:val="Normal"/>
        <w:widowControl/>
        <w:jc w:val="center"/>
        <w:rPr>
          <w:b/>
          <w:b/>
          <w:sz w:val="23"/>
          <w:szCs w:val="23"/>
        </w:rPr>
      </w:pPr>
      <w:r>
        <w:rPr>
          <w:b/>
          <w:sz w:val="23"/>
          <w:szCs w:val="23"/>
        </w:rPr>
        <w:t>ДОГОВОР № ___/25</w:t>
      </w:r>
    </w:p>
    <w:p>
      <w:pPr>
        <w:pStyle w:val="13"/>
        <w:widowControl w:val="false"/>
        <w:spacing w:lineRule="exact" w:line="240"/>
        <w:ind w:left="0" w:right="84" w:hanging="0"/>
        <w:jc w:val="center"/>
        <w:rPr>
          <w:b/>
          <w:b/>
          <w:bCs/>
        </w:rPr>
      </w:pPr>
      <w:r>
        <w:rPr>
          <w:b/>
          <w:bCs/>
          <w:sz w:val="24"/>
          <w:szCs w:val="24"/>
        </w:rPr>
        <w:t xml:space="preserve">«на оказание услуг по экстренному вызову наряда вневедомственной охраны </w:t>
      </w:r>
    </w:p>
    <w:p>
      <w:pPr>
        <w:pStyle w:val="Normal"/>
        <w:widowControl/>
        <w:numPr>
          <w:ilvl w:val="0"/>
          <w:numId w:val="0"/>
        </w:numPr>
        <w:spacing w:lineRule="auto" w:line="247"/>
        <w:ind w:left="0" w:right="0" w:hanging="0"/>
        <w:jc w:val="center"/>
        <w:outlineLvl w:val="0"/>
        <w:rPr>
          <w:b/>
          <w:b/>
          <w:bCs/>
        </w:rPr>
      </w:pPr>
      <w:r>
        <w:rPr>
          <w:b/>
          <w:bCs/>
          <w:sz w:val="24"/>
          <w:szCs w:val="24"/>
        </w:rPr>
        <w:t>на объекты с личным имуществом граждан»</w:t>
      </w:r>
    </w:p>
    <w:p>
      <w:pPr>
        <w:pStyle w:val="Normal"/>
        <w:widowControl/>
        <w:jc w:val="center"/>
        <w:rPr>
          <w:b/>
          <w:b/>
          <w:sz w:val="23"/>
          <w:szCs w:val="23"/>
        </w:rPr>
      </w:pPr>
      <w:r>
        <w:rPr>
          <w:b/>
          <w:sz w:val="23"/>
          <w:szCs w:val="23"/>
        </w:rPr>
      </w:r>
    </w:p>
    <w:p>
      <w:pPr>
        <w:pStyle w:val="Normal"/>
        <w:widowControl/>
        <w:jc w:val="center"/>
        <w:rPr>
          <w:b/>
          <w:b/>
          <w:sz w:val="23"/>
          <w:szCs w:val="23"/>
        </w:rPr>
      </w:pPr>
      <w:r>
        <w:rPr>
          <w:sz w:val="23"/>
          <w:szCs w:val="23"/>
        </w:rPr>
        <w:t>г. Реутов                                                                                                «____» _____________2025 г.</w:t>
      </w:r>
    </w:p>
    <w:p>
      <w:pPr>
        <w:pStyle w:val="Normal"/>
        <w:widowControl/>
        <w:rPr>
          <w:sz w:val="23"/>
          <w:szCs w:val="23"/>
        </w:rPr>
      </w:pPr>
      <w:r>
        <w:rPr>
          <w:sz w:val="23"/>
          <w:szCs w:val="23"/>
        </w:rPr>
        <w:t xml:space="preserve">                           </w:t>
      </w:r>
    </w:p>
    <w:p>
      <w:pPr>
        <w:sectPr>
          <w:footerReference w:type="default" r:id="rId2"/>
          <w:type w:val="nextPage"/>
          <w:pgSz w:w="11906" w:h="16838"/>
          <w:pgMar w:left="1701" w:right="851" w:header="0" w:top="851" w:footer="720" w:bottom="851" w:gutter="0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Normal"/>
        <w:widowControl/>
        <w:spacing w:before="0" w:after="0"/>
        <w:ind w:left="0" w:right="0" w:firstLine="737"/>
        <w:jc w:val="both"/>
        <w:rPr/>
      </w:pPr>
      <w:r>
        <w:rPr>
          <w:b/>
          <w:bCs/>
          <w:i w:val="false"/>
          <w:iCs w:val="false"/>
          <w:sz w:val="24"/>
          <w:szCs w:val="24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Московской области»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, в лице 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н</w:t>
      </w:r>
      <w:r>
        <w:rPr>
          <w:b w:val="false"/>
          <w:bCs w:val="false"/>
          <w:i w:val="false"/>
          <w:iCs w:val="false"/>
          <w:sz w:val="24"/>
          <w:szCs w:val="24"/>
        </w:rPr>
        <w:t>ачальника Федерального государственного казенного учреждения «Управления вневедомственной охраны войск национальной гвардии Российской Федерации по Московской области»</w:t>
      </w:r>
      <w:r>
        <w:rPr>
          <w:b w:val="false"/>
          <w:bCs w:val="false"/>
          <w:i w:val="false"/>
          <w:iCs w:val="false"/>
          <w:sz w:val="24"/>
          <w:szCs w:val="24"/>
        </w:rPr>
        <w:t>__</w:t>
      </w:r>
      <w:r>
        <w:rPr>
          <w:b w:val="false"/>
          <w:bCs w:val="false"/>
          <w:i w:val="false"/>
          <w:iCs w:val="false"/>
          <w:sz w:val="24"/>
          <w:szCs w:val="24"/>
        </w:rPr>
        <w:t>_________________________________, действующего на основании</w:t>
      </w:r>
      <w:r>
        <w:rPr>
          <w:b w:val="false"/>
          <w:bCs w:val="false"/>
          <w:i w:val="false"/>
          <w:iCs w:val="false"/>
          <w:sz w:val="24"/>
          <w:szCs w:val="24"/>
        </w:rPr>
        <w:t>___</w:t>
      </w:r>
      <w:r>
        <w:rPr>
          <w:b w:val="false"/>
          <w:bCs w:val="false"/>
          <w:i w:val="false"/>
          <w:iCs w:val="false"/>
          <w:sz w:val="24"/>
          <w:szCs w:val="24"/>
        </w:rPr>
        <w:t>__________________________________________________, именуемый в дальнейшем «</w:t>
      </w:r>
      <w:r>
        <w:rPr>
          <w:b/>
          <w:bCs/>
          <w:i w:val="false"/>
          <w:iCs w:val="false"/>
          <w:sz w:val="24"/>
          <w:szCs w:val="24"/>
        </w:rPr>
        <w:t>ИСПОЛНИТЕЛЬ»</w:t>
      </w:r>
      <w:r>
        <w:rPr>
          <w:b w:val="false"/>
          <w:bCs w:val="false"/>
          <w:i w:val="false"/>
          <w:iCs w:val="false"/>
          <w:sz w:val="24"/>
          <w:szCs w:val="24"/>
        </w:rPr>
        <w:t>, с одной стороны, и</w:t>
      </w:r>
      <w:r>
        <w:rPr>
          <w:b w:val="false"/>
          <w:bCs w:val="false"/>
          <w:i w:val="false"/>
          <w:iCs w:val="false"/>
          <w:sz w:val="24"/>
          <w:szCs w:val="24"/>
        </w:rPr>
        <w:t>_</w:t>
      </w:r>
      <w:r>
        <w:rPr>
          <w:b w:val="false"/>
          <w:bCs w:val="false"/>
          <w:i w:val="false"/>
          <w:iCs w:val="false"/>
          <w:sz w:val="24"/>
          <w:szCs w:val="24"/>
        </w:rPr>
        <w:t>__________________</w:t>
        <w:br/>
      </w:r>
      <w:r>
        <w:rPr>
          <w:b w:val="false"/>
          <w:bCs w:val="false"/>
          <w:i w:val="false"/>
          <w:iCs w:val="false"/>
          <w:sz w:val="24"/>
          <w:szCs w:val="24"/>
        </w:rPr>
        <w:t>_______________________________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проживающий(ая) по адресу: 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____________________,  паспорт: (серия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_______,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 xml:space="preserve"> №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________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)_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____________________________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________________, выдан:__________________________, телефон:__________________,</w:t>
        <w:br/>
        <w:t xml:space="preserve">E-mail:_______________________________ </w:t>
      </w:r>
      <w:r>
        <w:rPr>
          <w:b w:val="false"/>
          <w:bCs w:val="false"/>
          <w:i w:val="false"/>
          <w:iCs w:val="false"/>
          <w:sz w:val="24"/>
          <w:szCs w:val="24"/>
        </w:rPr>
        <w:t>именуем</w:t>
      </w:r>
      <w:r>
        <w:rPr>
          <w:b w:val="false"/>
          <w:bCs w:val="false"/>
          <w:i w:val="false"/>
          <w:iCs w:val="false"/>
          <w:sz w:val="24"/>
          <w:szCs w:val="24"/>
          <w:u w:val="single"/>
        </w:rPr>
        <w:t>ый(ая)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 в дальнейшем,  «</w:t>
      </w:r>
      <w:r>
        <w:rPr>
          <w:b/>
          <w:bCs/>
          <w:i w:val="false"/>
          <w:iCs w:val="false"/>
          <w:sz w:val="24"/>
          <w:szCs w:val="24"/>
        </w:rPr>
        <w:t>ЗАКАЗЧИК»</w:t>
      </w:r>
      <w:r>
        <w:rPr>
          <w:b w:val="false"/>
          <w:bCs w:val="false"/>
          <w:i w:val="false"/>
          <w:iCs w:val="false"/>
          <w:sz w:val="24"/>
          <w:szCs w:val="24"/>
        </w:rPr>
        <w:t>, с другой стороны, заключили настоящий договор о следующем:</w:t>
      </w:r>
    </w:p>
    <w:p>
      <w:pPr>
        <w:pStyle w:val="Normal"/>
        <w:widowControl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widowControl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1. ПРЕДМЕТ ДОГОВОРА.</w:t>
      </w:r>
    </w:p>
    <w:p>
      <w:pPr>
        <w:pStyle w:val="Normal"/>
        <w:widowControl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widowControl/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1.1. «ЗАКАЗЧИК» поручает, а «ИСПОЛНИТЕЛЬ» осуществляет централизованное наблюдение в течение времени охраны (с момента приема средств сигнализации объекта под централизованное наблюдение до снятия их с наблюдения) за состоянием комплекса технических средств охраны (далее «Комплекс»), установленного в отдельной квартире (доме) или ином помещении (далее – «Объект») с личным имуществом «ЗАКАЗЧИКА» и членов его семьи по адресу(ам): </w:t>
      </w:r>
      <w:r>
        <w:rPr>
          <w:b/>
          <w:bCs/>
          <w:i w:val="false"/>
          <w:iCs w:val="false"/>
          <w:sz w:val="24"/>
          <w:szCs w:val="24"/>
        </w:rPr>
        <w:t>________________________________________</w:t>
      </w:r>
      <w:r>
        <w:rPr>
          <w:b/>
          <w:bCs/>
          <w:i w:val="false"/>
          <w:iCs w:val="false"/>
          <w:sz w:val="24"/>
          <w:szCs w:val="24"/>
        </w:rPr>
        <w:t>_</w:t>
      </w:r>
      <w:r>
        <w:rPr>
          <w:b/>
          <w:bCs/>
          <w:i w:val="false"/>
          <w:iCs w:val="false"/>
          <w:sz w:val="24"/>
          <w:szCs w:val="24"/>
        </w:rPr>
        <w:t>________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.</w:t>
      </w:r>
      <w:r>
        <w:rPr>
          <w:b/>
          <w:bCs/>
          <w:i w:val="false"/>
          <w:iCs w:val="false"/>
          <w:sz w:val="24"/>
          <w:szCs w:val="24"/>
        </w:rPr>
        <w:t xml:space="preserve">                         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1.2. При поступлении на пункт централизованной охраны «тревожных» сообщений, формируемых установленным на «Объекте» «Комплексом» «ИСПОЛНИТЕЛЬ» обеспечивает направление на «Объект» наряда внведомственной охраны для выяснения причин поступления сообщений, а при необходимости – принятия мер к задержанию проникших на «Объект» посторонних лиц.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widowControl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 ОБЩИЕ ПОЛОЖЕНИЯ.</w:t>
      </w:r>
    </w:p>
    <w:p>
      <w:pPr>
        <w:pStyle w:val="Normal"/>
        <w:widowControl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2.1. «ИСПОЛНИТЕЛЬ» определяет на «Объекте» места, подлежащие оборудованию техническими средствами охраны, и рекомендует технические решения их защиты. Отказ «ЗАКАЗЧИКА» от оборудования техническими средствами охраны мест возможного проникновения и предложенного технического решения оговаривается в Приложении, являющемся неотъемлемой частью настоящего договора (далее - Приложение).</w:t>
      </w:r>
    </w:p>
    <w:p>
      <w:pPr>
        <w:pStyle w:val="Normal"/>
        <w:tabs>
          <w:tab w:val="clear" w:pos="708"/>
          <w:tab w:val="left" w:pos="54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2.2. «Объект» должен удовлетворять требованиям «ИСПОЛНИТЕЛЯ» по технической укрепленности помещений с личным имуществом граждан и их оснащенности средствами сигнализации.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2.3. Договор заключается без осмотра и описи находящегося на «Объекте» имущества, которое «ЗАКАЗЧИК» оценивает в одностороннем порядке, но не ниже минимальной величины, установленной «ИСПОЛНИТЕЛЕМ». Оценочная стоимость имущества указывается в Приложении и может быть изменена по желанию клиента.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2.4. Прием «тревожных» сообщений осуществляется «ИСПОЛНИТЕЛЕМ» с помощью оборудования радиосистемы передачи извещений.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2.5. «ЗАКАЗЧИК», члены его семьи и доверенные лица «ЗАКАЗЧИКА» имеют равные права в пользовании «Комплексом».</w:t>
      </w:r>
    </w:p>
    <w:p>
      <w:pPr>
        <w:pStyle w:val="Normal"/>
        <w:spacing w:before="0" w:after="0"/>
        <w:ind w:left="0" w:right="0" w:firstLine="737"/>
        <w:jc w:val="both"/>
        <w:rPr/>
      </w:pPr>
      <w:r>
        <w:rPr/>
      </w:r>
    </w:p>
    <w:p>
      <w:pPr>
        <w:pStyle w:val="Normal"/>
        <w:tabs>
          <w:tab w:val="clear" w:pos="708"/>
          <w:tab w:val="center" w:pos="3244" w:leader="none"/>
        </w:tabs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 ОБЯЗАННОСТИ «ЗАКАЗЧИКА»</w:t>
      </w:r>
    </w:p>
    <w:p>
      <w:pPr>
        <w:pStyle w:val="Normal"/>
        <w:tabs>
          <w:tab w:val="clear" w:pos="708"/>
          <w:tab w:val="center" w:pos="3244" w:leader="none"/>
        </w:tabs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3.1. Выполнять требования «ИСПОЛНИТЕЛЯ» по технической укрепленности «Объекта».</w:t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З.2. Соблюдать правила пользования «Комплексом», не вносить изменений в схему блокировки «Объекта». </w:t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3.З. Не разглашать посторонним лицам правила пользования «Комплексом», пароли, цифровые коды. Не передавать третьим лицам устройства персонального снятия «Объекта» с охраны. </w:t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3.4. Сообщить «ИСПОЛНИТЕЛЮ» свой служебный телефон, служебные телефоны членов семьи, адреса и телефоны доверенных лиц. Информировать «ИСПОЛНИТЕЛЯ» о всех изменениях этих данных. Установочные данные членов семьи и доверенных лиц «ЗАКАЗЧИКА» указываются в Приложении.</w:t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3.5. Обеспечить «ИСПОЛНИТЕЛЮ» возможность доступа во все помещения «Объекта» для выяснения и устранения причин поступления «тревожных» сообщений с «Комплекса», для чего сдать «ИСПОЛНИТЕЛЮ» комплект ключей от объекта, а также входных дверей подъездов, холлов и сообщить их коды (если таковые имеются). При смене замков, кодов своевременно информировать об этом «ИСПОЛНИТЕЛЯ» и производить замену комплекта ключей.</w:t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3.6. При обнаружении признаков проникновения на «Объект» посторонних лиц немедленно информировать об этом «ИСПОЛНИТЕЛЯ».</w:t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3.7. Заключить договор с организацией, обеспечивающей эксплуатационное обслуживание технических средств, имеющую на то лицензию и предоставить копию договора «ИСПОЛНИТЕЛЮ». Письменно уведомлять «ИСПОЛНИТЕЛЯ» в трехдневный срок об изменениях, вносимых в договор, а также о расторжении договора на техническое обслуживание.</w:t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3</w:t>
      </w:r>
      <w:r>
        <w:rPr>
          <w:b w:val="false"/>
          <w:bCs w:val="false"/>
          <w:i w:val="false"/>
          <w:iCs w:val="false"/>
          <w:sz w:val="24"/>
          <w:szCs w:val="24"/>
        </w:rPr>
        <w:t>.8. В установленные сроки производить оплату услуг «ИСПОЛНИТЕЛЯ».</w:t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3.9. Оплатить «ИСПОЛНИТЕЛЮ» расходы, связанные с выездами нарядов вневедомственной охраны войск национальной гвардии по «ложному» «тревожному» сообщению с «Объекта», поступившему из-за нарушений правил пользования «Комплексом» «ЗАКАЗЧИКОМ», членами его семьи, доверенными лицами.</w:t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3</w:t>
      </w:r>
      <w:r>
        <w:rPr>
          <w:b w:val="false"/>
          <w:bCs w:val="false"/>
          <w:i w:val="false"/>
          <w:iCs w:val="false"/>
          <w:sz w:val="24"/>
          <w:szCs w:val="24"/>
        </w:rPr>
        <w:t>.10. Производить капитальный ремонт или замену комплекса технических средств охраны при невозможности  его дальнейшей эксплуатации из-за физического износа или необратимого изменения технических параметров вследствие климатических или производственных факторов, исключающих надежную защиту охраняемого объекта, но не реже одного раза в 8 лет, с установлением сроков ремонта или замены.</w:t>
      </w:r>
    </w:p>
    <w:p>
      <w:pPr>
        <w:pStyle w:val="Normal"/>
        <w:widowControl w:val="false"/>
        <w:tabs>
          <w:tab w:val="clear" w:pos="708"/>
          <w:tab w:val="center" w:pos="0" w:leader="none"/>
        </w:tabs>
        <w:suppressAutoHyphens w:val="true"/>
        <w:overflowPunct w:val="false"/>
        <w:bidi w:val="0"/>
        <w:spacing w:before="0" w:after="0"/>
        <w:ind w:left="0" w:right="0" w:firstLine="737"/>
        <w:jc w:val="both"/>
        <w:textAlignment w:val="baseline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3.11. Контролировать и своевременно пополнять денежный счёт на </w:t>
      </w:r>
      <w:r>
        <w:rPr>
          <w:b w:val="false"/>
          <w:bCs w:val="false"/>
          <w:i w:val="false"/>
          <w:iCs w:val="false"/>
          <w:sz w:val="24"/>
          <w:szCs w:val="24"/>
          <w:lang w:val="en-US"/>
        </w:rPr>
        <w:t>SIM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-карте, если объект подключен с применением </w:t>
      </w:r>
      <w:r>
        <w:rPr>
          <w:b w:val="false"/>
          <w:bCs w:val="false"/>
          <w:i w:val="false"/>
          <w:iCs w:val="false"/>
          <w:sz w:val="24"/>
          <w:szCs w:val="24"/>
          <w:lang w:val="en-US"/>
        </w:rPr>
        <w:t>GSM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-канала и (или)  с использованием в оборудовании </w:t>
      </w:r>
      <w:r>
        <w:rPr>
          <w:b w:val="false"/>
          <w:bCs w:val="false"/>
          <w:i w:val="false"/>
          <w:iCs w:val="false"/>
          <w:sz w:val="24"/>
          <w:szCs w:val="24"/>
          <w:lang w:val="en-US"/>
        </w:rPr>
        <w:t>SIM</w:t>
      </w:r>
      <w:r>
        <w:rPr>
          <w:b w:val="false"/>
          <w:bCs w:val="false"/>
          <w:i w:val="false"/>
          <w:iCs w:val="false"/>
          <w:sz w:val="24"/>
          <w:szCs w:val="24"/>
        </w:rPr>
        <w:t>-карт.</w:t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 ОБЯЗАННОСТИ «ИСПОЛНИТЕЛЯ»</w:t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4.1. Осуществлять в установленном порядке прием «Комплекса» под централизованное наблюдение. Контактные телефоны пункта централизованной охраны.</w:t>
      </w:r>
    </w:p>
    <w:p>
      <w:pPr>
        <w:pStyle w:val="Normal"/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4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.2. При получении «тревожного» сообщения с «Комплекса», обеспечить его регистрацию и направить мобильный вневедомственной охраны войск национальной гвардии к «Объекту». Расчетное время прибытия к «Объекту» мобильного наряда вневедомственной охраны войск национальной гвардии «Исполнителя» составляет               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>до 15 минут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 с момента поступления на пункт централизованной охраны «тревожного» сообщения с «Комплекса».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4.З. При наличии признаков проникновения на «Объект» посторонних лиц, принять меры к задержанию лиц, совершающих противоправные действия, проинформировать «ЗАКАЗЧИКА», членов его семьи или доверенного лица.</w:t>
      </w:r>
    </w:p>
    <w:p>
      <w:pPr>
        <w:pStyle w:val="Normal"/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4.4. При получении «тревожного» сообщения с «Комплекса» и невозможности без вскрытия «Объекта» установить причину тревоги, используя комплект ключей, предоставленных «ЗАКАЗЧИКОМ», произвести вскрытие «Объекта» для выяснения и устранения причин поступления «тревожных» сообщений с «Комплекса». Вскрытие производить без понятых.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4.5. Предоставлять «ЗАКАЗЧИКУ» экземпляр акта установленного образца после вскрытия и осмотра объекта нарядом вневедомственной охраны войск национальной гвардии при срабатывании средств сигнализации.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4.6. Обеспечить сохранность комплекта ключей, предоставленных «ЗАКАЗЧИКОМ». При расторжении договора возвратить «ЗАКАЗЧИКУ» комплект ключей. Невостребованные в течение трех месяцев ключи уничтожить по акту.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4.7. Ознакомить «ЗАКАЗЧИКА» с требованиями «ИСПОЛНИТЕЛЯ» по технической укрепленности помещений с личным имуществом.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4.8. При изменении тарифов на услуги «ИСПОЛНИТЕЛЯ» уведомлять об этом «ЗАКАЗЧИКА».</w:t>
      </w:r>
    </w:p>
    <w:p>
      <w:pPr>
        <w:pStyle w:val="Normal"/>
        <w:spacing w:before="0" w:after="0"/>
        <w:ind w:left="0" w:right="0" w:firstLine="737"/>
        <w:jc w:val="both"/>
        <w:rPr/>
      </w:pPr>
      <w:r>
        <w:rPr/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 ПРАВА «СТОРОН»</w:t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5.1. «ЗАКАЗЧИК» вправе: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5.1.1. Устанавливать сумму оценки своего имущества, в пределах которой ему будет производиться компенсация за материальный ущерб причиненный кражей, совершенной в период централизованного наблюдения за «Объектом».</w:t>
      </w:r>
    </w:p>
    <w:p>
      <w:pPr>
        <w:pStyle w:val="Normal"/>
        <w:tabs>
          <w:tab w:val="clear" w:pos="708"/>
          <w:tab w:val="left" w:pos="0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5.1.2. Сдавать «Комплекс» под централизованное наблюдение «ИСПОЛНИТЕЛЮ» в любое время и на любой срок в пределах срока действия настоящего договора.</w:t>
      </w:r>
    </w:p>
    <w:p>
      <w:pPr>
        <w:pStyle w:val="Normal"/>
        <w:tabs>
          <w:tab w:val="clear" w:pos="708"/>
          <w:tab w:val="left" w:pos="19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5.1.3. Назначать своих официальных представителей (доверенных лиц) и передавать им право входа на «Объект», право пользования «Комплексом» и исполнения обязанностей по настоящему договору. «ЗАКАЗЧИК», члены его семьи и доверенные лица «ЗАКАЗЧИКА» имеют равные права в пользовании «Комплексом».</w:t>
      </w:r>
    </w:p>
    <w:p>
      <w:pPr>
        <w:pStyle w:val="Normal"/>
        <w:spacing w:before="0" w:after="0"/>
        <w:ind w:left="0" w:right="0" w:firstLine="737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5.2. «ИСПОЛНИТЕЛЬ» вправе: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5.2.1. Производить вскрытие «Объекта» с помощью комплекта ключей, предоставленных «ЗАКАЗЧИКОМ», и его осмотр с составлением акта, с целью выявления и устранения причин поступления «тревожных» сообщений с «Комплекса».</w:t>
      </w:r>
    </w:p>
    <w:p>
      <w:pPr>
        <w:pStyle w:val="Normal"/>
        <w:tabs>
          <w:tab w:val="clear" w:pos="708"/>
          <w:tab w:val="left" w:pos="54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5.2.2. Временно не принимать «Комплекс» под централизованное наблюдение, о чем «ЗАКАЗЧИК» ставится в известность, в случаях если: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- возникли причины, временно препятствующие осуществлению централизованного наблюдения (неисправность канала связи, отключение электроэнергии, замена системы централизованного наблюдения и т.п.);</w:t>
      </w:r>
    </w:p>
    <w:p>
      <w:pPr>
        <w:pStyle w:val="Normal"/>
        <w:tabs>
          <w:tab w:val="clear" w:pos="708"/>
          <w:tab w:val="left" w:pos="54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- предоставленные «ИСПОЛНИТЕЛЮ» «ЗАКАЗЧИКОМ» ключи и коды не соответствуют запорным устройствам на «Объекте»;</w:t>
      </w:r>
    </w:p>
    <w:p>
      <w:pPr>
        <w:pStyle w:val="Normal"/>
        <w:tabs>
          <w:tab w:val="clear" w:pos="708"/>
          <w:tab w:val="left" w:pos="54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- элементы технической укрепленности на «Объекте» требуют ремонта или замены;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- «ЗАКАЗЧИК» имеет задолженность по оплате за выезд наряда полиции по «ложному» «тревожному» сообщению, поступившему по вине «ЗАКАЗЧИКА», или за оказываемые «ИСПОЛНИТЕЛЕМ» услуги свыше одного месяца;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- «ЗАКАЗЧИКОМ» расторгнут договор на техническое обслуживание средств сигнализации, входящих в состав «Комплекса», установленного на «Объекте».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5.2.3. Временно приостановить предоставление услуг по настоящему договору, уведомив об этом «ЗАКАЗЧИКА», в случае возникновения спора о праве собственности и управления имуществом, находящимся во владении «ЗАКАЗЧИКА» и являющимся объектом охраны, до момента разрешения спора в предусмотренном законом порядке, вплоть до судебного.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 ОТВЕТСТВЕННОСТЬ «СТОРОН»</w:t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6.1. За несвоевременную оплату предоставляемых по настоящему договору услуг «ЗАКАЗЧИК» несет ответственность в соответствии с гражданским законодательством Российской Федерации.</w:t>
      </w:r>
    </w:p>
    <w:p>
      <w:pPr>
        <w:pStyle w:val="Normal"/>
        <w:tabs>
          <w:tab w:val="clear" w:pos="708"/>
          <w:tab w:val="left" w:pos="528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6.2. «ЗАКАЗЧИК» несет ответственность в соответствии с условиями настоящего договора за действия членов своей семьи и доверенных лиц.</w:t>
      </w:r>
    </w:p>
    <w:p>
      <w:pPr>
        <w:pStyle w:val="Normal"/>
        <w:tabs>
          <w:tab w:val="clear" w:pos="708"/>
          <w:tab w:val="left" w:pos="528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6.3. «ИСПОЛНИТЕЛЬ» несет ответственность за ущерб нанесенный «ЗАКАЗЧИКУ» от кражи, повреждения или уничтожения имущества, в результате виновного невыполнения или виновного ненадлежащего выполнения «ИСПОЛНИТЕЛЕМ» своих обязательств по настоящему договору в размере прямого действительного ущерба, но не свыше оценочной стоимости имущества, указанной в Приложении к настоящему договору.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6.4. Возмещение материального ущерба по п. 6.3. настоящего договора производится по решению суда.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6</w:t>
      </w:r>
      <w:r>
        <w:rPr>
          <w:b w:val="false"/>
          <w:bCs w:val="false"/>
          <w:i w:val="false"/>
          <w:iCs w:val="false"/>
          <w:sz w:val="24"/>
          <w:szCs w:val="24"/>
        </w:rPr>
        <w:t>.5. «ИСПОЛНИТЕЛЬ» освобождается от ответственности за ущерб в случаях, если: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6.5.1. Кража была совершена путем проникновения посторонних лиц на «Объект» через места, от оборудования которых Техническими средствами охраны «ЗАКАЗЧИК» отказался.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6.5.2. Причиной кражи стало невыполнение «ЗАКАЗЧИКОМ» требований пунктов 3.1.-3.5. настоящего договора.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6.5.3. «ЗАКАЗЧИК» расторг договор на техническое обслуживание средств сигнализации, входящих в состав «Комплекса», установленного на «Объекте».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6.5.4. Проникновение совершено во время, когда «Комплекс» не был поставлен «ЗАКАЗЧИКОМ» в режим охраны.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6.5.5. Лица, проникшие на «Объект», задержаны сотрудниками вневедомственной охраны войск национальной гвардии. 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6.5.6. Ущерб нанесен «ЗАКАЗЧИКУ» от грабежа, разбойного нападения, пожара.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6.5.7. Кража была совершена, когда «ИСПОЛНИТЕЛЬ» был лишен возможности вскрыть и осмотреть объект для выяснения причин срабатывания сигнализации вследствие несоответствия предоставленных «ИСПОЛНИТЕЛЮ» «ЗАКАЗЧИКОМ» ключей и кодов от запорных устройств объекта, подъезда, холла.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6.5.8. Кража была совершена в период, когда централизованное наблюдение за состоянием «Комплекс» временно не могло осуществляться по техническим причинам, независящим от «ИСПОЛНИТЕЛЯ» (отключении электроэнергии, и т.п.), о чем «ЗАКАЗЧИК», члены его семьи или доверенное лицо были предупреждены.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6.6. «ИСПОЛНИТЕЛЬ» не несет ответственности за нарушение целостности «Объекта» при проникновении или попытке проникновения на него посторонних лиц.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6.7. Наличие обстоятельств непреодолимой силы «Форс-мажор», непосредственно повлиявших на выполнение настоящего договора, освобождает «СТОРОНЫ» от ответственности за его полное или  частичное невыполнение.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 ПОРЯДОК РАСЧЕТОВ</w:t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7.1. Оплата услуг, предоставляемых «ИСПОЛНИТЕЛЕМ», производится ежемесячно, независимо от фактического времени централизованного наблюдения за состоянием «Комплекса», в соответствии с действующими тарифами не позднее 10-го числа текущего месяца. Оплата услуг, за первый после подписания договора месяц производится в полном размере как за целый месяц.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7.2. Тарифы на услуги «ИСПОЛНИТЕЛЯ» указываются в Приложении, устанавливаются с учетом фактических расходов по оказанию этого вида услуг и определенной «ЗАКАЗЧИКОМ» оценки его имущества и могут пересматриваться в течении срока действия договора «ИСПОЛНИТЕЛЕМ» с обязательным уведомлением «ЗАКАЗЧИКА».</w:t>
      </w:r>
    </w:p>
    <w:p>
      <w:pPr>
        <w:pStyle w:val="Normal"/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7.3. Оплата «ИСПОЛНИТЕЛЮ» расходов, связанных с выездами наряда полиции по «ложному» «тревожному» сообщению с «Объекта» производится «ЗАКАЗЧИКОМ» в 10-дневный срок с момента получения письменного уведомления о факте выезда, оформленного соответствующим актом. Размер оплаты указывается в Приложении.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7.4. При расторжении договора «ЗАКАЗЧИКУ» возвращается внесенная вперед плата за услуги «ИСПОЛНИТЕЛЯ». Плата за неполный последний месяц возврату не подлежит.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7.5. Выплата компенсации за ущерб, причиненной кражей, производится «ЗАКАЗЧИКУ» по решению суда, вступившему в законную силу.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7.6. Возврат «ЗАКАЗЧИКУ» похищенных ценностей, изъятых следственными органами у лиц, совершивших кражу, производится этими органами или судом в установленном законом порядке. При этом «ИСПОЛНИТЕЛЬ» не принимает на ответственное хранение от указанных органов имущество, подлежащее возврату «ЗАКАЗЧИКУ».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8. СРОК ДЕЙСТВИЯ ДОГОВОРА</w:t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widowControl/>
        <w:tabs>
          <w:tab w:val="clear" w:pos="708"/>
          <w:tab w:val="left" w:pos="0" w:leader="none"/>
        </w:tabs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color w:val="000000"/>
          <w:sz w:val="24"/>
          <w:szCs w:val="24"/>
        </w:rPr>
        <w:t xml:space="preserve">8.1. Настоящий договор заключается сроком на 12 месяцев и вступает в силу с                          </w:t>
      </w:r>
      <w:r>
        <w:rPr>
          <w:b/>
          <w:bCs/>
          <w:i w:val="false"/>
          <w:iCs w:val="false"/>
          <w:color w:val="000000"/>
          <w:sz w:val="24"/>
          <w:szCs w:val="24"/>
        </w:rPr>
        <w:t>«_____»______________ 2025 года.</w:t>
      </w:r>
    </w:p>
    <w:p>
      <w:pPr>
        <w:pStyle w:val="Normal"/>
        <w:widowControl/>
        <w:tabs>
          <w:tab w:val="clear" w:pos="708"/>
          <w:tab w:val="left" w:pos="0" w:leader="none"/>
        </w:tabs>
        <w:spacing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6"/>
        </w:rPr>
      </w:pPr>
      <w:r>
        <w:rPr>
          <w:rFonts w:cs="Times New Roman"/>
          <w:b w:val="false"/>
          <w:bCs w:val="false"/>
          <w:i w:val="false"/>
          <w:iCs w:val="false"/>
          <w:color w:val="000000"/>
          <w:sz w:val="24"/>
          <w:szCs w:val="26"/>
        </w:rPr>
        <w:t>8.2. Если ни одна из Сторон не заявит о своем намерении расторгнуть Договор в письменной форме за 30 календарных дней до окончания срока действия Договора, то Договор считается автоматически пролонгированным на последующий год.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sz w:val="24"/>
          <w:szCs w:val="26"/>
        </w:rPr>
      </w:pPr>
      <w:r>
        <w:rPr>
          <w:rFonts w:cs="Times New Roman"/>
          <w:sz w:val="24"/>
          <w:szCs w:val="26"/>
        </w:rPr>
        <w:t>8.3. Настоящий Договор расторгается по соглашению Сторон или по инициативе одной из Сторон путем направления письменного уведомления за 30 (тридцать) календарных дней до момента расторжения, с обязательным проведением взаиморасчетов.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sz w:val="24"/>
          <w:szCs w:val="26"/>
        </w:rPr>
      </w:pPr>
      <w:r>
        <w:rPr>
          <w:rFonts w:cs="Times New Roman"/>
          <w:sz w:val="24"/>
          <w:szCs w:val="26"/>
        </w:rPr>
        <w:t>8.3.1. «ИСПОЛНИТЕЛЬ» незамедлительно расторгает Договор в одностороннем порядке с уведомлением «Заказчика» в случаях: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sz w:val="24"/>
          <w:szCs w:val="26"/>
        </w:rPr>
      </w:pPr>
      <w:r>
        <w:rPr>
          <w:rFonts w:cs="Times New Roman"/>
          <w:sz w:val="24"/>
          <w:szCs w:val="26"/>
        </w:rPr>
        <w:t>8.3.2. Возникновения спора о праве собственности (пользования, владения, распоряжения) и (или) управления имуществом, являющимся объектом охраны, до момента разрешения спора в предусмотренном законом порядке.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sz w:val="24"/>
          <w:szCs w:val="26"/>
        </w:rPr>
      </w:pPr>
      <w:r>
        <w:rPr>
          <w:rFonts w:cs="Times New Roman"/>
          <w:sz w:val="24"/>
          <w:szCs w:val="26"/>
        </w:rPr>
        <w:t>8.3.3. Неоднократного нарушения сроков оплаты «ЗАКАЗЧИКОМ» услуг по настоящему Договору.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sz w:val="24"/>
          <w:szCs w:val="26"/>
        </w:rPr>
      </w:pPr>
      <w:r>
        <w:rPr>
          <w:rFonts w:cs="Times New Roman"/>
          <w:sz w:val="24"/>
          <w:szCs w:val="26"/>
        </w:rPr>
        <w:t>8.3.4. Отказа «ЗАКАЗЧИК» от заключения соглашения по изменению суммы Договора в связи с изменением тарифов на охрану.</w:t>
      </w:r>
    </w:p>
    <w:p>
      <w:pPr>
        <w:pStyle w:val="Normal"/>
        <w:widowControl/>
        <w:tabs>
          <w:tab w:val="clear" w:pos="708"/>
          <w:tab w:val="left" w:pos="0" w:leader="none"/>
        </w:tabs>
        <w:spacing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6"/>
        </w:rPr>
      </w:pPr>
      <w:r>
        <w:rPr>
          <w:rFonts w:cs="Times New Roman"/>
          <w:b w:val="false"/>
          <w:bCs w:val="false"/>
          <w:i w:val="false"/>
          <w:iCs w:val="false"/>
          <w:color w:val="000000"/>
          <w:sz w:val="24"/>
          <w:szCs w:val="26"/>
        </w:rPr>
        <w:t>8.3.5. С момента издания нормативного правового акта, устанавливающего на территории субъекта Российской Федерации военное положение или режим чрезвычайной ситуации, Договор считается незамедлительно расторгнутым.</w:t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8.3.6. «ЗАКАЗЧИК» отказался от проведения капитального ремонта или замены комплекса технических средств охраны при невозможности  его дальнейшей эксплуатации из-за физического износа или необратимого изменения технических параметров вследствие климатических или производственных факторов, исключающих надежную защиту охраняемого объекта, но не реже одного раза в 8 лет, с установлением сроков ремонта или замены;</w:t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8.3.7. не устранены в установленный срок выявленные при обследовании и отраженные в соответствующих актах обследования недостатки в технической укрепленности охраняемых объектов, средств охраны и связи, в том числе охранной сигнализации.</w:t>
      </w:r>
    </w:p>
    <w:p>
      <w:pPr>
        <w:pStyle w:val="22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8.3.8. «Договор может быть расторгнут до истечения срока его действия по инициативе каждой из «Сторон» в одностороннем порядке с уведомлением другой «Стороны» в случаи, если инициирующая расторжение «Сторона» непосредственно либо косвенно участвует в ликвидации чрезвычайных ситуаций или проведении военных действий».</w:t>
      </w:r>
    </w:p>
    <w:p>
      <w:pPr>
        <w:pStyle w:val="22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 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center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 ПРОЧИЕ УСЛОВИЯ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center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/>
      </w:pPr>
      <w:r>
        <w:rPr>
          <w:rFonts w:cs="Times New Roman"/>
          <w:b w:val="false"/>
          <w:bCs w:val="false"/>
          <w:sz w:val="24"/>
          <w:szCs w:val="26"/>
        </w:rPr>
        <w:t>9.1. Уведомление об изменении стоимости охранных услуг, реквизитов и иных положений Договора осуществляется «ИСПОЛНИТЕЛЕМ» любыми доступными способами позволяющими подтвердить получение уведомления «ЗАКАЗЧИКОМ», в том числе: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9.1.1. посредством почтовых отправлений;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9.1.2. телефонограммой или телеграммой;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9.1.3. по факсимильной связи;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9.1.4. посредством электронной почты;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/>
      </w:pPr>
      <w:r>
        <w:rPr>
          <w:rFonts w:cs="Times New Roman"/>
          <w:b w:val="false"/>
          <w:bCs w:val="false"/>
          <w:sz w:val="24"/>
          <w:szCs w:val="26"/>
        </w:rPr>
        <w:t xml:space="preserve">9.1.5. посредством мгновенных сообщений и </w:t>
      </w:r>
      <w:r>
        <w:rPr>
          <w:rFonts w:cs="Times New Roman"/>
          <w:b w:val="false"/>
          <w:bCs w:val="false"/>
          <w:sz w:val="24"/>
          <w:szCs w:val="26"/>
          <w:lang w:val="en-US"/>
        </w:rPr>
        <w:t>sms</w:t>
      </w:r>
      <w:r>
        <w:rPr>
          <w:rFonts w:cs="Times New Roman"/>
          <w:b w:val="false"/>
          <w:bCs w:val="false"/>
          <w:sz w:val="24"/>
          <w:szCs w:val="26"/>
        </w:rPr>
        <w:t xml:space="preserve"> – сообщений на мобильный телефон;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9.1.6. с использованием иных средств связи и доставки.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9.2. Споры, возникающие в процессе исполнения обязательств по настоящему Договору, разрешаются путем переговоров. В случае не достижения согласия в результате переговоров, стороны принимают меры по досудебному урегулированию спора, а именно: Сторона, права которой нарушены, направляет в адрес другой Стороны претензию в письменном виде с изложением своих требований.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9.3. Сторона, нарушившая условия договора, в течение 10 (десять) календарных дней со дня получения претензии, удовлетворяет предъявленные требования либо письменно уведомляет Сторону, права которой нарушены, об отказе от удовлетворения требований.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9.4. Претензия и ответ на претензию направляются Сторонами друг другу любым доступным способом, в возможно короткие сроки с подтверждением получения.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9.5. Если по истечению вышеуказанного срока, предъявленные требования не удовлетворены, либо ответ об отказе от удовлетворения требований не получен¸ Сторона, права которой нарушены, имеет право передать решение спорного вопроса на рассмотрение Арбитражного суда Московской области в порядке, предусмотренном законодательством Российской Федерации.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9.6. Стороны признают юридическую силу за копиями документов, полученных по электронной почте или факсу, и признают их равенство с оригинальными документов, оформленных на бумажных носителях.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 xml:space="preserve">9.7. Все изменения и дополнения к настоящему Договору оформляются в письменной форме в виде дополнительного соглашения. </w:t>
      </w:r>
    </w:p>
    <w:p>
      <w:pPr>
        <w:pStyle w:val="Normal"/>
        <w:keepNext w:val="true"/>
        <w:keepLines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9.8. По всем вопросам, неурегулированным настоящим Договором, стороны руководствуются законодательством Российской Федерации.</w:t>
      </w:r>
    </w:p>
    <w:p>
      <w:pPr>
        <w:pStyle w:val="Normal"/>
        <w:keepNext w:val="true"/>
        <w:keepLines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9.9. Настоящий Договор составлен в 2-х (двух) экземплярах, имеющих одинаковую юридическую силу, по одному экземпляру для каждой из сторон.</w:t>
      </w:r>
    </w:p>
    <w:p>
      <w:pPr>
        <w:pStyle w:val="Normal"/>
        <w:keepNext w:val="true"/>
        <w:keepLines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9.10. К настоящему Договору прилагаются и являются его неотъемлемой частью:</w:t>
      </w:r>
    </w:p>
    <w:p>
      <w:pPr>
        <w:pStyle w:val="Normal"/>
        <w:keepNext w:val="true"/>
        <w:keepLines/>
        <w:tabs>
          <w:tab w:val="clear" w:pos="708"/>
          <w:tab w:val="left" w:pos="508" w:leader="none"/>
        </w:tabs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4"/>
        </w:rPr>
      </w:pPr>
      <w:r>
        <w:rPr>
          <w:rFonts w:cs="Times New Roman"/>
          <w:b w:val="false"/>
          <w:bCs w:val="false"/>
          <w:sz w:val="24"/>
          <w:szCs w:val="24"/>
        </w:rPr>
        <w:t> </w:t>
      </w:r>
      <w:r>
        <w:rPr>
          <w:rFonts w:cs="Times New Roman"/>
          <w:b w:val="false"/>
          <w:bCs w:val="false"/>
          <w:sz w:val="24"/>
          <w:szCs w:val="24"/>
        </w:rPr>
        <w:t xml:space="preserve">Приложение № 1 . </w:t>
      </w:r>
    </w:p>
    <w:p>
      <w:pPr>
        <w:sectPr>
          <w:type w:val="continuous"/>
          <w:pgSz w:w="11906" w:h="16838"/>
          <w:pgMar w:left="1701" w:right="851" w:header="0" w:top="851" w:footer="720" w:bottom="851" w:gutter="0"/>
          <w:formProt w:val="false"/>
          <w:textDirection w:val="lrTb"/>
          <w:docGrid w:type="default" w:linePitch="100" w:charSpace="8192"/>
        </w:sectPr>
      </w:pPr>
    </w:p>
    <w:p>
      <w:pPr>
        <w:pStyle w:val="Normal"/>
        <w:widowControl/>
        <w:jc w:val="center"/>
        <w:rPr>
          <w:b/>
          <w:b/>
          <w:color w:val="000000"/>
          <w:sz w:val="23"/>
          <w:szCs w:val="23"/>
        </w:rPr>
      </w:pPr>
      <w:r>
        <w:rPr>
          <w:b/>
          <w:color w:val="000000"/>
          <w:sz w:val="23"/>
          <w:szCs w:val="23"/>
        </w:rPr>
      </w:r>
    </w:p>
    <w:p>
      <w:pPr>
        <w:pStyle w:val="Normal"/>
        <w:widowControl/>
        <w:jc w:val="center"/>
        <w:rPr>
          <w:b/>
          <w:b/>
          <w:color w:val="000000"/>
          <w:sz w:val="23"/>
          <w:szCs w:val="23"/>
        </w:rPr>
      </w:pPr>
      <w:r>
        <w:rPr>
          <w:b/>
          <w:color w:val="000000"/>
          <w:sz w:val="23"/>
          <w:szCs w:val="23"/>
        </w:rPr>
        <w:t>ЮРИДИЧЕСКИЕ АДРЕСА И БАНКОВСКИЕ РЕКВИЗИТЫ СТОРОН:</w:t>
      </w:r>
    </w:p>
    <w:tbl>
      <w:tblPr>
        <w:tblW w:w="9356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820"/>
        <w:gridCol w:w="4536"/>
      </w:tblGrid>
      <w:tr>
        <w:trPr>
          <w:trHeight w:val="175" w:hRule="atLeast"/>
        </w:trPr>
        <w:tc>
          <w:tcPr>
            <w:tcW w:w="4820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3"/>
                <w:szCs w:val="23"/>
              </w:rPr>
            </w:pPr>
            <w:r>
              <w:rPr>
                <w:b/>
                <w:color w:val="000000"/>
                <w:sz w:val="23"/>
                <w:szCs w:val="23"/>
              </w:rPr>
              <w:t>«ЗАКАЗЧИК»</w:t>
            </w:r>
          </w:p>
        </w:tc>
        <w:tc>
          <w:tcPr>
            <w:tcW w:w="4536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3"/>
                <w:szCs w:val="23"/>
              </w:rPr>
            </w:pPr>
            <w:r>
              <w:rPr>
                <w:b/>
                <w:color w:val="000000"/>
                <w:sz w:val="23"/>
                <w:szCs w:val="23"/>
              </w:rPr>
              <w:t>«ИСПОЛНИТЕЛЬ»</w:t>
            </w:r>
          </w:p>
        </w:tc>
      </w:tr>
      <w:tr>
        <w:trPr>
          <w:trHeight w:val="865" w:hRule="atLeast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left="0" w:right="0" w:hanging="0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b/>
                <w:bCs/>
                <w:i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/>
                <w:bCs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  <w:t>________________________________________</w:t>
            </w:r>
          </w:p>
          <w:p>
            <w:pPr>
              <w:pStyle w:val="Normal"/>
              <w:widowControl w:val="false"/>
              <w:ind w:left="0" w:right="0" w:hanging="0"/>
              <w:jc w:val="both"/>
              <w:rPr>
                <w:rFonts w:eastAsia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 w:val="false"/>
              <w:ind w:left="0" w:right="0" w:firstLine="708"/>
              <w:jc w:val="both"/>
              <w:rPr>
                <w:rFonts w:eastAsia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 w:val="false"/>
              <w:ind w:left="0" w:right="0" w:hanging="0"/>
              <w:jc w:val="both"/>
              <w:rPr>
                <w:rFonts w:eastAsia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 w:val="false"/>
              <w:ind w:left="0" w:right="0" w:hanging="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  <w:t>________________________________________________________________________________________________________________________________________________________________________________________</w:t>
            </w:r>
          </w:p>
          <w:p>
            <w:pPr>
              <w:pStyle w:val="Normal"/>
              <w:widowControl w:val="false"/>
              <w:ind w:left="0" w:right="0" w:hanging="0"/>
              <w:jc w:val="center"/>
              <w:rPr/>
            </w:pPr>
            <w:r>
              <w:rPr/>
              <w:t xml:space="preserve">(реквизиты заказчика)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Федеральное государственное казенное учреждение «Управление вневедомственной охраны Войск национальной гвардии Российской Федерации  по Московской области»</w:t>
            </w:r>
          </w:p>
          <w:p>
            <w:pPr>
              <w:pStyle w:val="Normal"/>
              <w:widowControl w:val="false"/>
              <w:jc w:val="both"/>
              <w:rPr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b w:val="false"/>
                <w:bCs w:val="false"/>
                <w:color w:val="000000"/>
                <w:sz w:val="20"/>
                <w:szCs w:val="20"/>
              </w:rPr>
              <w:t>Место нахождение и почтовый адрес: 143968, Московская область, г. Реутов, проезд братьев Фоминых, дом 5.</w:t>
            </w:r>
          </w:p>
          <w:p>
            <w:pPr>
              <w:pStyle w:val="Normal"/>
              <w:widowControl w:val="false"/>
              <w:jc w:val="both"/>
              <w:rPr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b w:val="false"/>
                <w:bCs w:val="false"/>
                <w:color w:val="000000"/>
                <w:sz w:val="20"/>
                <w:szCs w:val="20"/>
              </w:rPr>
              <w:t>Банковские реквизиты:____________________</w:t>
            </w:r>
          </w:p>
        </w:tc>
      </w:tr>
      <w:tr>
        <w:trPr>
          <w:trHeight w:val="629" w:hRule="atLeast"/>
        </w:trPr>
        <w:tc>
          <w:tcPr>
            <w:tcW w:w="48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ЗАКАЗЧИК  (ФИО) </w:t>
            </w:r>
          </w:p>
          <w:p>
            <w:pPr>
              <w:pStyle w:val="Normal"/>
              <w:widowControl w:val="false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i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/>
                <w:bCs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0" w:right="0" w:hanging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  <w:t xml:space="preserve">Начальник </w:t>
            </w:r>
          </w:p>
          <w:p>
            <w:pPr>
              <w:pStyle w:val="Normal"/>
              <w:widowControl w:val="false"/>
              <w:ind w:left="0" w:right="0" w:hanging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  <w:t>(ФИО)</w:t>
            </w:r>
          </w:p>
        </w:tc>
      </w:tr>
      <w:tr>
        <w:trPr>
          <w:trHeight w:val="1223" w:hRule="atLeast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(подпись)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М.П.</w:t>
            </w:r>
          </w:p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(подпись)</w:t>
            </w:r>
          </w:p>
        </w:tc>
      </w:tr>
    </w:tbl>
    <w:p>
      <w:pPr>
        <w:pStyle w:val="13"/>
        <w:ind w:left="0" w:right="-659" w:hanging="0"/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</w:r>
    </w:p>
    <w:tbl>
      <w:tblPr>
        <w:tblW w:w="9470" w:type="dxa"/>
        <w:jc w:val="left"/>
        <w:tblInd w:w="363" w:type="dxa"/>
        <w:tblCellMar>
          <w:top w:w="0" w:type="dxa"/>
          <w:left w:w="113" w:type="dxa"/>
          <w:bottom w:w="0" w:type="dxa"/>
          <w:right w:w="108" w:type="dxa"/>
        </w:tblCellMar>
      </w:tblPr>
      <w:tblGrid>
        <w:gridCol w:w="3684"/>
        <w:gridCol w:w="5786"/>
      </w:tblGrid>
      <w:tr>
        <w:trPr>
          <w:trHeight w:val="480" w:hRule="atLeast"/>
        </w:trPr>
        <w:tc>
          <w:tcPr>
            <w:tcW w:w="9470" w:type="dxa"/>
            <w:gridSpan w:val="2"/>
            <w:tcBorders>
              <w:bottom w:val="single" w:sz="4" w:space="0" w:color="000000"/>
            </w:tcBorders>
          </w:tcPr>
          <w:p>
            <w:pPr>
              <w:pStyle w:val="13"/>
              <w:widowControl w:val="false"/>
              <w:suppressAutoHyphens w:val="true"/>
              <w:overflowPunct w:val="true"/>
              <w:bidi w:val="0"/>
              <w:spacing w:before="0" w:after="0"/>
              <w:ind w:left="4762" w:right="-567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Приложение № 1                                                     к договору № ____/25 от ____.____.20___ года</w:t>
            </w:r>
          </w:p>
          <w:p>
            <w:pPr>
              <w:pStyle w:val="13"/>
              <w:widowControl w:val="false"/>
              <w:ind w:left="0" w:right="-183" w:hanging="0"/>
              <w:jc w:val="both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  <w:p>
            <w:pPr>
              <w:pStyle w:val="13"/>
              <w:widowControl w:val="false"/>
              <w:ind w:left="0" w:right="-183" w:hanging="0"/>
              <w:jc w:val="both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</w:r>
          </w:p>
          <w:p>
            <w:pPr>
              <w:pStyle w:val="13"/>
              <w:widowControl w:val="false"/>
              <w:ind w:left="0" w:right="-183" w:hanging="0"/>
              <w:jc w:val="both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</w:r>
          </w:p>
        </w:tc>
      </w:tr>
      <w:tr>
        <w:trPr>
          <w:trHeight w:val="589" w:hRule="atLeast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3"/>
                <w:szCs w:val="23"/>
              </w:rPr>
              <w:t>Плата за услуги в рублях в месяц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center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</w:tr>
      <w:tr>
        <w:trPr>
          <w:trHeight w:val="260" w:hRule="atLeast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Оценочная стоимость имущества «Заказчика», находящегося на объекте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tabs>
                <w:tab w:val="clear" w:pos="708"/>
                <w:tab w:val="left" w:pos="6180" w:leader="none"/>
              </w:tabs>
              <w:ind w:left="0" w:right="-183" w:hanging="0"/>
              <w:jc w:val="center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</w:r>
          </w:p>
        </w:tc>
      </w:tr>
      <w:tr>
        <w:trPr>
          <w:trHeight w:val="260" w:hRule="atLeast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Выезд нарядов полиции по ложному сигналу с объектов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5600" w:leader="none"/>
              </w:tabs>
              <w:jc w:val="center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</w:r>
          </w:p>
        </w:tc>
      </w:tr>
      <w:tr>
        <w:trPr>
          <w:trHeight w:val="260" w:hRule="atLeast"/>
          <w:cantSplit w:val="true"/>
        </w:trPr>
        <w:tc>
          <w:tcPr>
            <w:tcW w:w="3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Члены семьи и доверенные лица «Заказчика», обладающие равными правами в пользовании «Комплексом»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</w:r>
          </w:p>
        </w:tc>
      </w:tr>
      <w:tr>
        <w:trPr>
          <w:trHeight w:val="260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</w:r>
          </w:p>
        </w:tc>
      </w:tr>
      <w:tr>
        <w:trPr>
          <w:trHeight w:val="260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260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48" w:hRule="atLeast"/>
          <w:cantSplit w:val="true"/>
        </w:trPr>
        <w:tc>
          <w:tcPr>
            <w:tcW w:w="3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Перечень ключей от «Объекта, входящих в комплект, передаваемых «Исполнителю»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46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46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20" w:hRule="atLeast"/>
          <w:cantSplit w:val="true"/>
        </w:trPr>
        <w:tc>
          <w:tcPr>
            <w:tcW w:w="3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Места возможного проникновения на «Объект», от оборудования которых техническими средствами охраны «Заказчик» отказался</w:t>
            </w:r>
          </w:p>
          <w:p>
            <w:pPr>
              <w:pStyle w:val="13"/>
              <w:widowControl w:val="false"/>
              <w:ind w:left="0" w:right="34" w:hanging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18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18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18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18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18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</w:tbl>
    <w:p>
      <w:pPr>
        <w:pStyle w:val="13"/>
        <w:ind w:left="0" w:right="-659" w:hanging="0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13"/>
        <w:ind w:left="0" w:right="-659" w:hanging="0"/>
        <w:rPr>
          <w:sz w:val="23"/>
          <w:szCs w:val="23"/>
        </w:rPr>
      </w:pPr>
      <w:r>
        <w:rPr>
          <w:sz w:val="23"/>
          <w:szCs w:val="23"/>
        </w:rPr>
        <w:t>Примечание:</w:t>
      </w:r>
    </w:p>
    <w:p>
      <w:pPr>
        <w:pStyle w:val="Normal"/>
        <w:widowControl/>
        <w:ind w:left="0" w:right="-27" w:firstLine="708"/>
        <w:rPr>
          <w:sz w:val="23"/>
          <w:szCs w:val="23"/>
        </w:rPr>
      </w:pPr>
      <w:r>
        <w:rPr>
          <w:sz w:val="23"/>
          <w:szCs w:val="23"/>
        </w:rPr>
        <w:t>1.   Приложение составляется в 2-х экземплярах по 1-му для каждой стороны.</w:t>
      </w:r>
    </w:p>
    <w:p>
      <w:pPr>
        <w:pStyle w:val="BodyTextIndent2"/>
        <w:rPr>
          <w:sz w:val="23"/>
          <w:szCs w:val="23"/>
        </w:rPr>
      </w:pPr>
      <w:r>
        <w:rPr>
          <w:sz w:val="23"/>
          <w:szCs w:val="23"/>
        </w:rPr>
        <w:t>2. На момент заключения договора «ЗАКАЗЧИК» ознакомлен с требованиями «ИСПОЛНИТЕЛЯ» по технической укрепленности помещений с личным имуществом, обучен правилам пользования «Комплексом» и обеспечен соответствующими памятками.</w:t>
      </w:r>
    </w:p>
    <w:p>
      <w:pPr>
        <w:pStyle w:val="BodyTextIndent2"/>
        <w:rPr>
          <w:b w:val="false"/>
          <w:b w:val="false"/>
          <w:bCs w:val="false"/>
          <w:u w:val="none"/>
        </w:rPr>
      </w:pPr>
      <w:r>
        <w:rPr>
          <w:b w:val="false"/>
          <w:bCs w:val="false"/>
          <w:sz w:val="23"/>
          <w:szCs w:val="23"/>
          <w:u w:val="none"/>
        </w:rPr>
        <w:t>3. В случае невозможности осмотра «Объекта» по причине не сдачи ключей «ЗАКАЗЧИКОМ», «ИСПОЛНИТЕЛЬ» снимает с себя ответственность за сохранность имущества  «ЗАКАЗЧИКА».</w:t>
      </w:r>
    </w:p>
    <w:p>
      <w:pPr>
        <w:pStyle w:val="Normal"/>
        <w:ind w:left="708" w:right="-27" w:hanging="0"/>
        <w:jc w:val="both"/>
        <w:rPr>
          <w:b/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</w:t>
      </w:r>
      <w:r>
        <w:rPr>
          <w:b/>
          <w:bCs/>
          <w:sz w:val="23"/>
          <w:szCs w:val="23"/>
        </w:rPr>
        <w:tab/>
        <w:tab/>
        <w:tab/>
        <w:tab/>
        <w:tab/>
      </w:r>
    </w:p>
    <w:p>
      <w:pPr>
        <w:pStyle w:val="13"/>
        <w:ind w:left="0" w:right="-659" w:hanging="0"/>
        <w:rPr>
          <w:b/>
          <w:b/>
          <w:sz w:val="23"/>
          <w:szCs w:val="23"/>
        </w:rPr>
      </w:pPr>
      <w:r>
        <w:rPr>
          <w:b/>
          <w:sz w:val="23"/>
          <w:szCs w:val="23"/>
        </w:rPr>
      </w:r>
    </w:p>
    <w:p>
      <w:pPr>
        <w:pStyle w:val="13"/>
        <w:ind w:left="0" w:right="-659" w:firstLine="708"/>
        <w:rPr>
          <w:b/>
          <w:b/>
          <w:sz w:val="23"/>
          <w:szCs w:val="23"/>
        </w:rPr>
      </w:pPr>
      <w:r>
        <w:rPr>
          <w:rFonts w:eastAsia="Times New Roman" w:cs="Times New Roman"/>
          <w:b/>
          <w:color w:val="auto"/>
          <w:kern w:val="0"/>
          <w:sz w:val="23"/>
          <w:szCs w:val="23"/>
          <w:lang w:val="ru-RU" w:eastAsia="ru-RU" w:bidi="ar-SA"/>
        </w:rPr>
        <w:t>Н</w:t>
      </w:r>
      <w:r>
        <w:rPr>
          <w:b/>
          <w:sz w:val="23"/>
          <w:szCs w:val="23"/>
        </w:rPr>
        <w:t>ачальник ФГКУ «УВО ВНГ России                                           «Заказчик»</w:t>
      </w:r>
    </w:p>
    <w:p>
      <w:pPr>
        <w:pStyle w:val="13"/>
        <w:ind w:left="0" w:right="-659" w:firstLine="708"/>
        <w:rPr>
          <w:b/>
          <w:b/>
          <w:sz w:val="23"/>
          <w:szCs w:val="23"/>
        </w:rPr>
      </w:pPr>
      <w:r>
        <w:rPr>
          <w:b/>
          <w:sz w:val="23"/>
          <w:szCs w:val="23"/>
        </w:rPr>
        <w:t xml:space="preserve">по Московской области» </w:t>
      </w:r>
    </w:p>
    <w:p>
      <w:pPr>
        <w:pStyle w:val="13"/>
        <w:ind w:left="0" w:right="-1326" w:firstLine="708"/>
        <w:rPr/>
      </w:pPr>
      <w:r>
        <w:rPr>
          <w:b/>
          <w:sz w:val="23"/>
          <w:szCs w:val="23"/>
        </w:rPr>
        <w:t>________________ /____________/</w:t>
        <w:tab/>
        <w:tab/>
        <w:t xml:space="preserve">                 _____________ /_______________</w:t>
      </w:r>
      <w:r>
        <w:rPr>
          <w:b/>
          <w:i w:val="false"/>
          <w:iCs w:val="false"/>
          <w:sz w:val="23"/>
          <w:szCs w:val="23"/>
        </w:rPr>
        <w:t>/</w:t>
      </w:r>
    </w:p>
    <w:p>
      <w:pPr>
        <w:pStyle w:val="13"/>
        <w:ind w:left="0" w:right="-1326" w:firstLine="708"/>
        <w:rPr/>
      </w:pPr>
      <w:r>
        <w:rPr>
          <w:b/>
          <w:i w:val="false"/>
          <w:iCs w:val="false"/>
          <w:sz w:val="23"/>
          <w:szCs w:val="23"/>
        </w:rPr>
        <w:t>«____</w:t>
      </w:r>
      <w:r>
        <w:rPr>
          <w:b/>
          <w:sz w:val="23"/>
          <w:szCs w:val="23"/>
        </w:rPr>
        <w:t xml:space="preserve"> » __________________20__ г.</w:t>
        <w:tab/>
        <w:t xml:space="preserve">                «     » _________________    2025 г.</w:t>
      </w:r>
    </w:p>
    <w:p>
      <w:pPr>
        <w:pStyle w:val="Normal"/>
        <w:widowControl/>
        <w:ind w:left="0" w:right="-27" w:hanging="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</w:t>
      </w:r>
      <w:r>
        <w:rPr>
          <w:color w:val="000000"/>
          <w:sz w:val="23"/>
          <w:szCs w:val="23"/>
        </w:rPr>
        <w:t xml:space="preserve">М.П. </w:t>
      </w:r>
    </w:p>
    <w:p>
      <w:pPr>
        <w:pStyle w:val="13"/>
        <w:ind w:left="0" w:right="-659" w:hanging="0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13"/>
        <w:ind w:left="0" w:right="-659" w:hanging="0"/>
        <w:jc w:val="both"/>
        <w:rPr/>
      </w:pPr>
      <w:r>
        <w:rPr/>
      </w:r>
    </w:p>
    <w:p>
      <w:pPr>
        <w:sectPr>
          <w:type w:val="continuous"/>
          <w:pgSz w:w="11906" w:h="16838"/>
          <w:pgMar w:left="1701" w:right="851" w:header="0" w:top="851" w:footer="720" w:bottom="851" w:gutter="0"/>
          <w:formProt w:val="false"/>
          <w:textDirection w:val="lrTb"/>
          <w:docGrid w:type="default" w:linePitch="100" w:charSpace="8192"/>
        </w:sectPr>
      </w:pP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701" w:right="851" w:header="0" w:top="851" w:footer="720" w:bottom="851" w:gutter="0"/>
          <w:formProt w:val="false"/>
          <w:textDirection w:val="lrTb"/>
          <w:docGrid w:type="default" w:linePitch="100" w:charSpace="8192"/>
        </w:sectPr>
      </w:pPr>
    </w:p>
    <w:p>
      <w:pPr>
        <w:pStyle w:val="Normal"/>
        <w:jc w:val="center"/>
        <w:rPr/>
      </w:pPr>
      <w:r>
        <w:rPr/>
      </w:r>
    </w:p>
    <w:sectPr>
      <w:type w:val="continuous"/>
      <w:pgSz w:w="11906" w:h="16838"/>
      <w:pgMar w:left="1701" w:right="851" w:header="0" w:top="851" w:footer="720" w:bottom="851" w:gutter="0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PT Sans">
    <w:charset w:val="01"/>
    <w:family w:val="roman"/>
    <w:pitch w:val="variable"/>
  </w:font>
  <w:font w:name="Courier New">
    <w:charset w:val="01"/>
    <w:family w:val="roman"/>
    <w:pitch w:val="variable"/>
  </w:font>
  <w:font w:name="Tahom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jc w:val="both"/>
      <w:rPr/>
    </w:pPr>
    <w:r>
      <w:rPr>
        <w:sz w:val="10"/>
      </w:rPr>
      <w:t xml:space="preserve">*- </w:t>
    </w:r>
    <w:r>
      <w:rPr>
        <w:rFonts w:ascii="Arial" w:hAnsi="Arial"/>
        <w:b/>
        <w:i/>
        <w:sz w:val="10"/>
      </w:rPr>
      <w:t>При оплате через банковскую систему РФ дополнительно к сумме ежемесячной оплаты банком взимается комиссионный сбор, установленный конкретной банковской организацией.</w:t>
    </w:r>
  </w:p>
  <w:p>
    <w:pPr>
      <w:pStyle w:val="Style30"/>
      <w:widowControl/>
      <w:ind w:left="0" w:right="360" w:hanging="0"/>
      <w:rPr>
        <w:sz w:val="18"/>
      </w:rPr>
    </w:pPr>
    <w:r>
      <w:rPr>
        <w:sz w:val="18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1.%2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2.%3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3.%4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4.%5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5.%6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6.%7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7.%8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8.%9"/>
      <w:lvlJc w:val="right"/>
      <w:pPr>
        <w:tabs>
          <w:tab w:val="num" w:pos="6480"/>
        </w:tabs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220"/>
  <w:embedSystemFonts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false"/>
      <w:autoSpaceDE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qFormat/>
    <w:pPr>
      <w:keepNext w:val="true"/>
      <w:numPr>
        <w:ilvl w:val="0"/>
        <w:numId w:val="0"/>
      </w:numPr>
      <w:spacing w:before="240" w:after="120"/>
      <w:outlineLvl w:val="0"/>
    </w:pPr>
    <w:rPr>
      <w:rFonts w:ascii="Arial" w:hAnsi="Arial"/>
      <w:b/>
      <w:kern w:val="2"/>
      <w:sz w:val="36"/>
    </w:rPr>
  </w:style>
  <w:style w:type="paragraph" w:styleId="2">
    <w:name w:val="Heading 2"/>
    <w:basedOn w:val="Normal"/>
    <w:qFormat/>
    <w:pPr>
      <w:keepNext w:val="true"/>
      <w:numPr>
        <w:ilvl w:val="0"/>
        <w:numId w:val="0"/>
      </w:numPr>
      <w:spacing w:before="160" w:after="120"/>
      <w:outlineLvl w:val="1"/>
    </w:pPr>
    <w:rPr>
      <w:rFonts w:ascii="Arial" w:hAnsi="Arial"/>
      <w:b/>
      <w:i/>
      <w:kern w:val="2"/>
      <w:sz w:val="28"/>
    </w:rPr>
  </w:style>
  <w:style w:type="paragraph" w:styleId="3">
    <w:name w:val="Heading 3"/>
    <w:basedOn w:val="Normal"/>
    <w:qFormat/>
    <w:pPr>
      <w:keepNext w:val="true"/>
      <w:numPr>
        <w:ilvl w:val="0"/>
        <w:numId w:val="0"/>
      </w:numPr>
      <w:spacing w:before="120" w:after="80"/>
      <w:outlineLvl w:val="2"/>
    </w:pPr>
    <w:rPr>
      <w:b/>
      <w:kern w:val="2"/>
      <w:sz w:val="24"/>
    </w:rPr>
  </w:style>
  <w:style w:type="paragraph" w:styleId="4">
    <w:name w:val="Heading 4"/>
    <w:basedOn w:val="Normal"/>
    <w:qFormat/>
    <w:pPr>
      <w:keepNext w:val="true"/>
      <w:numPr>
        <w:ilvl w:val="0"/>
        <w:numId w:val="0"/>
      </w:numPr>
      <w:spacing w:before="120" w:after="80"/>
      <w:outlineLvl w:val="3"/>
    </w:pPr>
    <w:rPr>
      <w:b/>
      <w:i/>
      <w:kern w:val="2"/>
      <w:sz w:val="24"/>
    </w:rPr>
  </w:style>
  <w:style w:type="paragraph" w:styleId="5">
    <w:name w:val="Heading 5"/>
    <w:basedOn w:val="Normal"/>
    <w:qFormat/>
    <w:pPr>
      <w:keepNext w:val="true"/>
      <w:numPr>
        <w:ilvl w:val="0"/>
        <w:numId w:val="0"/>
      </w:numPr>
      <w:spacing w:before="120" w:after="80"/>
      <w:outlineLvl w:val="4"/>
    </w:pPr>
    <w:rPr>
      <w:rFonts w:ascii="Arial" w:hAnsi="Arial"/>
      <w:b/>
      <w:kern w:val="2"/>
    </w:rPr>
  </w:style>
  <w:style w:type="paragraph" w:styleId="6">
    <w:name w:val="Heading 6"/>
    <w:basedOn w:val="Normal"/>
    <w:qFormat/>
    <w:pPr>
      <w:keepNext w:val="true"/>
      <w:numPr>
        <w:ilvl w:val="0"/>
        <w:numId w:val="0"/>
      </w:numPr>
      <w:spacing w:before="120" w:after="80"/>
      <w:outlineLvl w:val="5"/>
    </w:pPr>
    <w:rPr>
      <w:rFonts w:ascii="Arial" w:hAnsi="Arial"/>
      <w:b/>
      <w:i/>
      <w:kern w:val="2"/>
    </w:rPr>
  </w:style>
  <w:style w:type="paragraph" w:styleId="7">
    <w:name w:val="Heading 7"/>
    <w:basedOn w:val="Normal"/>
    <w:qFormat/>
    <w:pPr>
      <w:keepNext w:val="true"/>
      <w:numPr>
        <w:ilvl w:val="0"/>
        <w:numId w:val="0"/>
      </w:numPr>
      <w:spacing w:before="80" w:after="60"/>
      <w:outlineLvl w:val="6"/>
    </w:pPr>
    <w:rPr>
      <w:b/>
      <w:kern w:val="2"/>
    </w:rPr>
  </w:style>
  <w:style w:type="paragraph" w:styleId="8">
    <w:name w:val="Heading 8"/>
    <w:basedOn w:val="Normal"/>
    <w:qFormat/>
    <w:pPr>
      <w:keepNext w:val="true"/>
      <w:numPr>
        <w:ilvl w:val="0"/>
        <w:numId w:val="0"/>
      </w:numPr>
      <w:spacing w:before="80" w:after="60"/>
      <w:outlineLvl w:val="7"/>
    </w:pPr>
    <w:rPr>
      <w:b/>
      <w:i/>
      <w:kern w:val="2"/>
    </w:rPr>
  </w:style>
  <w:style w:type="paragraph" w:styleId="9">
    <w:name w:val="Heading 9"/>
    <w:basedOn w:val="Normal"/>
    <w:qFormat/>
    <w:pPr>
      <w:keepNext w:val="true"/>
      <w:numPr>
        <w:ilvl w:val="0"/>
        <w:numId w:val="0"/>
      </w:numPr>
      <w:spacing w:before="80" w:after="60"/>
      <w:outlineLvl w:val="8"/>
    </w:pPr>
    <w:rPr>
      <w:b/>
      <w:i/>
      <w:kern w:val="2"/>
    </w:rPr>
  </w:style>
  <w:style w:type="character" w:styleId="DefaultParagraphFont">
    <w:name w:val="Default Paragraph Font"/>
    <w:qFormat/>
    <w:rPr/>
  </w:style>
  <w:style w:type="character" w:styleId="Annotationreference">
    <w:name w:val="annotation reference"/>
    <w:basedOn w:val="DefaultParagraphFont"/>
    <w:qFormat/>
    <w:rPr>
      <w:sz w:val="16"/>
    </w:rPr>
  </w:style>
  <w:style w:type="character" w:styleId="Style5">
    <w:name w:val="Курсив"/>
    <w:qFormat/>
    <w:rPr>
      <w:i/>
      <w:sz w:val="20"/>
    </w:rPr>
  </w:style>
  <w:style w:type="character" w:styleId="Style6">
    <w:name w:val="Привязка концевой сноски"/>
    <w:rPr>
      <w:sz w:val="20"/>
      <w:vertAlign w:val="superscript"/>
    </w:rPr>
  </w:style>
  <w:style w:type="character" w:styleId="EndnoteCharacters">
    <w:name w:val="Endnote Characters"/>
    <w:basedOn w:val="DefaultParagraphFont"/>
    <w:qFormat/>
    <w:rPr>
      <w:sz w:val="20"/>
      <w:vertAlign w:val="superscript"/>
    </w:rPr>
  </w:style>
  <w:style w:type="character" w:styleId="Style7">
    <w:name w:val="Привязка сноски"/>
    <w:rPr>
      <w:sz w:val="20"/>
      <w:vertAlign w:val="superscript"/>
    </w:rPr>
  </w:style>
  <w:style w:type="character" w:styleId="FootnoteCharacters">
    <w:name w:val="Footnote Characters"/>
    <w:basedOn w:val="DefaultParagraphFont"/>
    <w:qFormat/>
    <w:rPr>
      <w:sz w:val="20"/>
      <w:vertAlign w:val="superscript"/>
    </w:rPr>
  </w:style>
  <w:style w:type="character" w:styleId="Style8">
    <w:name w:val="Элемент глоссария"/>
    <w:qFormat/>
    <w:rPr>
      <w:b/>
      <w:sz w:val="20"/>
    </w:rPr>
  </w:style>
  <w:style w:type="character" w:styleId="Style9">
    <w:name w:val="Полужирный курсив"/>
    <w:qFormat/>
    <w:rPr>
      <w:b/>
      <w:i/>
      <w:sz w:val="20"/>
    </w:rPr>
  </w:style>
  <w:style w:type="character" w:styleId="Linenumber">
    <w:name w:val="line number"/>
    <w:basedOn w:val="DefaultParagraphFont"/>
    <w:qFormat/>
    <w:rPr>
      <w:rFonts w:ascii="Arial" w:hAnsi="Arial"/>
      <w:sz w:val="18"/>
    </w:rPr>
  </w:style>
  <w:style w:type="character" w:styleId="Pagenumber">
    <w:name w:val="page number"/>
    <w:basedOn w:val="DefaultParagraphFont"/>
    <w:qFormat/>
    <w:rPr>
      <w:b/>
      <w:sz w:val="20"/>
    </w:rPr>
  </w:style>
  <w:style w:type="character" w:styleId="Style10">
    <w:name w:val="Верхний индекс"/>
    <w:qFormat/>
    <w:rPr>
      <w:sz w:val="20"/>
      <w:vertAlign w:val="superscript"/>
    </w:rPr>
  </w:style>
  <w:style w:type="character" w:styleId="Style11">
    <w:name w:val="Интернет-ссылка"/>
    <w:basedOn w:val="DefaultParagraphFont"/>
    <w:rPr>
      <w:color w:val="0000FF"/>
      <w:u w:val="single"/>
    </w:rPr>
  </w:style>
  <w:style w:type="character" w:styleId="Style12">
    <w:name w:val="Символ концевой сноски"/>
    <w:qFormat/>
    <w:rPr/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480" w:before="0" w:after="160"/>
    </w:pPr>
    <w:rPr/>
  </w:style>
  <w:style w:type="paragraph" w:styleId="Style15">
    <w:name w:val="List"/>
    <w:basedOn w:val="Style14"/>
    <w:pPr>
      <w:tabs>
        <w:tab w:val="clear" w:pos="708"/>
        <w:tab w:val="left" w:pos="720" w:leader="none"/>
      </w:tabs>
      <w:spacing w:before="0" w:after="80"/>
      <w:ind w:left="720" w:right="0" w:hanging="360"/>
    </w:pPr>
    <w:rPr/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Annotationtext">
    <w:name w:val="annotation text"/>
    <w:basedOn w:val="Normal"/>
    <w:qFormat/>
    <w:pPr>
      <w:tabs>
        <w:tab w:val="clear" w:pos="708"/>
        <w:tab w:val="left" w:pos="187" w:leader="none"/>
      </w:tabs>
      <w:spacing w:lineRule="exact" w:line="220" w:before="0" w:after="120"/>
      <w:ind w:left="187" w:right="0" w:hanging="187"/>
    </w:pPr>
    <w:rPr/>
  </w:style>
  <w:style w:type="paragraph" w:styleId="Style18">
    <w:name w:val="Строка Внимание"/>
    <w:basedOn w:val="Style14"/>
    <w:qFormat/>
    <w:pPr/>
    <w:rPr>
      <w:b/>
      <w:i/>
    </w:rPr>
  </w:style>
  <w:style w:type="paragraph" w:styleId="Style19">
    <w:name w:val="Автор"/>
    <w:basedOn w:val="Style14"/>
    <w:qFormat/>
    <w:pPr>
      <w:spacing w:before="960" w:after="160"/>
      <w:jc w:val="center"/>
    </w:pPr>
    <w:rPr>
      <w:b/>
      <w:sz w:val="28"/>
    </w:rPr>
  </w:style>
  <w:style w:type="paragraph" w:styleId="BlockQuotation">
    <w:name w:val="Block Quotation"/>
    <w:basedOn w:val="Style14"/>
    <w:qFormat/>
    <w:pPr>
      <w:keepLines/>
      <w:ind w:left="720" w:right="720" w:hanging="0"/>
    </w:pPr>
    <w:rPr>
      <w:i/>
    </w:rPr>
  </w:style>
  <w:style w:type="paragraph" w:styleId="Style20">
    <w:name w:val="Цитата первая"/>
    <w:basedOn w:val="BlockQuotation"/>
    <w:qFormat/>
    <w:pPr>
      <w:spacing w:before="120" w:after="160"/>
    </w:pPr>
    <w:rPr/>
  </w:style>
  <w:style w:type="paragraph" w:styleId="Style21">
    <w:name w:val="Цитата последняя"/>
    <w:basedOn w:val="BlockQuotation"/>
    <w:qFormat/>
    <w:pPr>
      <w:spacing w:before="0" w:after="240"/>
    </w:pPr>
    <w:rPr/>
  </w:style>
  <w:style w:type="paragraph" w:styleId="Style22">
    <w:name w:val="Body Text Indent"/>
    <w:basedOn w:val="Style14"/>
    <w:pPr>
      <w:ind w:left="360" w:right="0" w:hanging="0"/>
    </w:pPr>
    <w:rPr/>
  </w:style>
  <w:style w:type="paragraph" w:styleId="Style23">
    <w:name w:val="Основной текст вместе"/>
    <w:basedOn w:val="Style14"/>
    <w:qFormat/>
    <w:pPr>
      <w:keepNext w:val="true"/>
    </w:pPr>
    <w:rPr/>
  </w:style>
  <w:style w:type="paragraph" w:styleId="Caption">
    <w:name w:val="caption"/>
    <w:basedOn w:val="Normal"/>
    <w:qFormat/>
    <w:pPr>
      <w:spacing w:before="120" w:after="160"/>
    </w:pPr>
    <w:rPr>
      <w:i/>
      <w:sz w:val="18"/>
    </w:rPr>
  </w:style>
  <w:style w:type="paragraph" w:styleId="Style24">
    <w:name w:val="Метка главы"/>
    <w:basedOn w:val="Normal"/>
    <w:qFormat/>
    <w:pPr>
      <w:keepNext w:val="true"/>
      <w:spacing w:before="360" w:after="0"/>
      <w:jc w:val="center"/>
    </w:pPr>
    <w:rPr>
      <w:rFonts w:ascii="Arial" w:hAnsi="Arial"/>
      <w:b/>
      <w:kern w:val="2"/>
      <w:sz w:val="24"/>
      <w:u w:val="single"/>
    </w:rPr>
  </w:style>
  <w:style w:type="paragraph" w:styleId="Style25">
    <w:name w:val="Подзаголовок главы"/>
    <w:basedOn w:val="Normal"/>
    <w:qFormat/>
    <w:pPr>
      <w:keepNext w:val="true"/>
      <w:keepLines/>
      <w:spacing w:before="360" w:after="360"/>
      <w:jc w:val="center"/>
    </w:pPr>
    <w:rPr>
      <w:rFonts w:ascii="Arial" w:hAnsi="Arial"/>
      <w:i/>
      <w:kern w:val="2"/>
      <w:sz w:val="28"/>
    </w:rPr>
  </w:style>
  <w:style w:type="paragraph" w:styleId="Style26">
    <w:name w:val="Заголовок главы"/>
    <w:basedOn w:val="Normal"/>
    <w:qFormat/>
    <w:pPr>
      <w:keepNext w:val="true"/>
      <w:keepLines/>
      <w:spacing w:before="600" w:after="0"/>
      <w:jc w:val="center"/>
    </w:pPr>
    <w:rPr>
      <w:rFonts w:ascii="Arial" w:hAnsi="Arial"/>
      <w:b/>
      <w:kern w:val="2"/>
      <w:sz w:val="32"/>
    </w:rPr>
  </w:style>
  <w:style w:type="paragraph" w:styleId="11">
    <w:name w:val="Дата1"/>
    <w:basedOn w:val="Style14"/>
    <w:qFormat/>
    <w:pPr>
      <w:spacing w:before="960" w:after="160"/>
      <w:jc w:val="center"/>
    </w:pPr>
    <w:rPr>
      <w:b/>
      <w:sz w:val="28"/>
    </w:rPr>
  </w:style>
  <w:style w:type="paragraph" w:styleId="Style27">
    <w:name w:val="Метка документа"/>
    <w:basedOn w:val="Normal"/>
    <w:qFormat/>
    <w:pPr>
      <w:keepNext w:val="true"/>
      <w:spacing w:before="240" w:after="360"/>
    </w:pPr>
    <w:rPr>
      <w:b/>
      <w:kern w:val="2"/>
      <w:sz w:val="36"/>
    </w:rPr>
  </w:style>
  <w:style w:type="paragraph" w:styleId="Style28">
    <w:name w:val="Endnote Text"/>
    <w:basedOn w:val="Normal"/>
    <w:pPr>
      <w:tabs>
        <w:tab w:val="clear" w:pos="708"/>
        <w:tab w:val="left" w:pos="187" w:leader="none"/>
      </w:tabs>
      <w:spacing w:lineRule="exact" w:line="220" w:before="0" w:after="120"/>
      <w:ind w:left="187" w:right="0" w:hanging="187"/>
    </w:pPr>
    <w:rPr>
      <w:sz w:val="18"/>
    </w:rPr>
  </w:style>
  <w:style w:type="paragraph" w:styleId="Style29">
    <w:name w:val="Верхний и нижний колонтитулы"/>
    <w:basedOn w:val="Normal"/>
    <w:qFormat/>
    <w:pPr/>
    <w:rPr/>
  </w:style>
  <w:style w:type="paragraph" w:styleId="Style30">
    <w:name w:val="Footer"/>
    <w:basedOn w:val="Normal"/>
    <w:pPr>
      <w:keepLines/>
      <w:tabs>
        <w:tab w:val="clear" w:pos="708"/>
        <w:tab w:val="center" w:pos="4320" w:leader="none"/>
        <w:tab w:val="right" w:pos="8640" w:leader="none"/>
      </w:tabs>
    </w:pPr>
    <w:rPr/>
  </w:style>
  <w:style w:type="paragraph" w:styleId="Style31">
    <w:name w:val="Нижн.колонтитул четн."/>
    <w:basedOn w:val="Style30"/>
    <w:qFormat/>
    <w:pPr/>
    <w:rPr/>
  </w:style>
  <w:style w:type="paragraph" w:styleId="Style32">
    <w:name w:val="Нижн.колонтитул первый"/>
    <w:basedOn w:val="Style30"/>
    <w:qFormat/>
    <w:pPr>
      <w:jc w:val="center"/>
    </w:pPr>
    <w:rPr/>
  </w:style>
  <w:style w:type="paragraph" w:styleId="Style33">
    <w:name w:val="Нижн.колонтитул нечетн."/>
    <w:basedOn w:val="Style30"/>
    <w:qFormat/>
    <w:pPr>
      <w:tabs>
        <w:tab w:val="right" w:pos="0" w:leader="none"/>
        <w:tab w:val="center" w:pos="4320" w:leader="none"/>
        <w:tab w:val="right" w:pos="8640" w:leader="none"/>
      </w:tabs>
      <w:jc w:val="right"/>
    </w:pPr>
    <w:rPr/>
  </w:style>
  <w:style w:type="paragraph" w:styleId="Style34">
    <w:name w:val="Базовая сноска"/>
    <w:basedOn w:val="Normal"/>
    <w:qFormat/>
    <w:pPr>
      <w:tabs>
        <w:tab w:val="clear" w:pos="708"/>
        <w:tab w:val="left" w:pos="187" w:leader="none"/>
      </w:tabs>
      <w:spacing w:lineRule="exact" w:line="220"/>
      <w:ind w:left="187" w:right="0" w:hanging="187"/>
    </w:pPr>
    <w:rPr>
      <w:sz w:val="18"/>
    </w:rPr>
  </w:style>
  <w:style w:type="paragraph" w:styleId="Style35">
    <w:name w:val="Footnote Text"/>
    <w:basedOn w:val="Style34"/>
    <w:pPr>
      <w:spacing w:before="0" w:after="120"/>
    </w:pPr>
    <w:rPr/>
  </w:style>
  <w:style w:type="paragraph" w:styleId="Style36">
    <w:name w:val="Определение глоссария"/>
    <w:basedOn w:val="Style14"/>
    <w:qFormat/>
    <w:pPr>
      <w:spacing w:lineRule="auto" w:line="240"/>
      <w:ind w:left="547" w:right="0" w:hanging="547"/>
    </w:pPr>
    <w:rPr/>
  </w:style>
  <w:style w:type="paragraph" w:styleId="Style37">
    <w:name w:val="Header"/>
    <w:basedOn w:val="Normal"/>
    <w:pPr>
      <w:keepLines/>
      <w:tabs>
        <w:tab w:val="clear" w:pos="708"/>
        <w:tab w:val="center" w:pos="4320" w:leader="none"/>
        <w:tab w:val="right" w:pos="8640" w:leader="none"/>
      </w:tabs>
    </w:pPr>
    <w:rPr/>
  </w:style>
  <w:style w:type="paragraph" w:styleId="Style38">
    <w:name w:val="Верхн.колонтитул базовый"/>
    <w:basedOn w:val="Normal"/>
    <w:qFormat/>
    <w:pPr>
      <w:keepLines/>
      <w:tabs>
        <w:tab w:val="clear" w:pos="708"/>
        <w:tab w:val="center" w:pos="4320" w:leader="none"/>
        <w:tab w:val="right" w:pos="8640" w:leader="none"/>
      </w:tabs>
    </w:pPr>
    <w:rPr/>
  </w:style>
  <w:style w:type="paragraph" w:styleId="Style39">
    <w:name w:val="Верхн.колонтитул четн."/>
    <w:basedOn w:val="Style37"/>
    <w:qFormat/>
    <w:pPr/>
    <w:rPr/>
  </w:style>
  <w:style w:type="paragraph" w:styleId="Style40">
    <w:name w:val="Верхн.колонтитул первый"/>
    <w:basedOn w:val="Style37"/>
    <w:qFormat/>
    <w:pPr>
      <w:jc w:val="center"/>
    </w:pPr>
    <w:rPr/>
  </w:style>
  <w:style w:type="paragraph" w:styleId="Style41">
    <w:name w:val="Верхн.колонтитул нечетн."/>
    <w:basedOn w:val="Style37"/>
    <w:qFormat/>
    <w:pPr>
      <w:tabs>
        <w:tab w:val="right" w:pos="0" w:leader="none"/>
        <w:tab w:val="center" w:pos="4320" w:leader="none"/>
        <w:tab w:val="right" w:pos="8640" w:leader="none"/>
      </w:tabs>
      <w:jc w:val="right"/>
    </w:pPr>
    <w:rPr/>
  </w:style>
  <w:style w:type="paragraph" w:styleId="Style42">
    <w:name w:val="Базовый заголовок"/>
    <w:basedOn w:val="Normal"/>
    <w:qFormat/>
    <w:pPr>
      <w:keepNext w:val="true"/>
      <w:keepLines/>
      <w:spacing w:before="240" w:after="120"/>
    </w:pPr>
    <w:rPr>
      <w:rFonts w:ascii="Arial" w:hAnsi="Arial"/>
      <w:b/>
      <w:kern w:val="2"/>
      <w:sz w:val="36"/>
    </w:rPr>
  </w:style>
  <w:style w:type="paragraph" w:styleId="Index1">
    <w:name w:val="index 1"/>
    <w:basedOn w:val="Normal"/>
    <w:qFormat/>
    <w:pPr>
      <w:tabs>
        <w:tab w:val="clear" w:pos="708"/>
        <w:tab w:val="right" w:pos="3960" w:leader="dot"/>
      </w:tabs>
      <w:ind w:left="720" w:right="0" w:hanging="720"/>
    </w:pPr>
    <w:rPr/>
  </w:style>
  <w:style w:type="paragraph" w:styleId="Index2">
    <w:name w:val="index 2"/>
    <w:basedOn w:val="Normal"/>
    <w:qFormat/>
    <w:pPr>
      <w:tabs>
        <w:tab w:val="clear" w:pos="708"/>
        <w:tab w:val="right" w:pos="3960" w:leader="dot"/>
      </w:tabs>
      <w:ind w:left="1080" w:right="0" w:hanging="720"/>
    </w:pPr>
    <w:rPr/>
  </w:style>
  <w:style w:type="paragraph" w:styleId="Index3">
    <w:name w:val="index 3"/>
    <w:basedOn w:val="Normal"/>
    <w:qFormat/>
    <w:pPr>
      <w:tabs>
        <w:tab w:val="clear" w:pos="708"/>
        <w:tab w:val="right" w:pos="3960" w:leader="dot"/>
      </w:tabs>
      <w:ind w:left="1440" w:right="0" w:hanging="720"/>
    </w:pPr>
    <w:rPr/>
  </w:style>
  <w:style w:type="paragraph" w:styleId="Index4">
    <w:name w:val="index 4"/>
    <w:basedOn w:val="Normal"/>
    <w:qFormat/>
    <w:pPr>
      <w:tabs>
        <w:tab w:val="clear" w:pos="708"/>
        <w:tab w:val="right" w:pos="3960" w:leader="dot"/>
      </w:tabs>
      <w:ind w:left="1800" w:right="0" w:hanging="720"/>
    </w:pPr>
    <w:rPr/>
  </w:style>
  <w:style w:type="paragraph" w:styleId="Index5">
    <w:name w:val="index 5"/>
    <w:basedOn w:val="Normal"/>
    <w:qFormat/>
    <w:pPr>
      <w:tabs>
        <w:tab w:val="clear" w:pos="708"/>
        <w:tab w:val="right" w:pos="3960" w:leader="dot"/>
      </w:tabs>
      <w:ind w:left="2160" w:right="0" w:hanging="720"/>
    </w:pPr>
    <w:rPr/>
  </w:style>
  <w:style w:type="paragraph" w:styleId="Index6">
    <w:name w:val="index 6"/>
    <w:basedOn w:val="Normal"/>
    <w:qFormat/>
    <w:pPr>
      <w:tabs>
        <w:tab w:val="clear" w:pos="708"/>
        <w:tab w:val="right" w:pos="3960" w:leader="dot"/>
      </w:tabs>
      <w:ind w:left="1800" w:right="0" w:hanging="720"/>
    </w:pPr>
    <w:rPr/>
  </w:style>
  <w:style w:type="paragraph" w:styleId="Index7">
    <w:name w:val="index 7"/>
    <w:basedOn w:val="Normal"/>
    <w:qFormat/>
    <w:pPr>
      <w:tabs>
        <w:tab w:val="clear" w:pos="708"/>
        <w:tab w:val="right" w:pos="3960" w:leader="dot"/>
      </w:tabs>
      <w:ind w:left="2160" w:right="0" w:hanging="720"/>
    </w:pPr>
    <w:rPr/>
  </w:style>
  <w:style w:type="paragraph" w:styleId="Index8">
    <w:name w:val="index 8"/>
    <w:basedOn w:val="Normal"/>
    <w:qFormat/>
    <w:pPr>
      <w:tabs>
        <w:tab w:val="clear" w:pos="708"/>
        <w:tab w:val="right" w:pos="3960" w:leader="dot"/>
      </w:tabs>
      <w:ind w:left="2520" w:right="0" w:hanging="720"/>
    </w:pPr>
    <w:rPr/>
  </w:style>
  <w:style w:type="paragraph" w:styleId="Index9">
    <w:name w:val="index 9"/>
    <w:basedOn w:val="Normal"/>
    <w:qFormat/>
    <w:pPr>
      <w:tabs>
        <w:tab w:val="clear" w:pos="708"/>
        <w:tab w:val="right" w:pos="3960" w:leader="dot"/>
      </w:tabs>
      <w:ind w:left="2880" w:right="0" w:hanging="720"/>
    </w:pPr>
    <w:rPr/>
  </w:style>
  <w:style w:type="paragraph" w:styleId="Style43">
    <w:name w:val="Базовый указатель"/>
    <w:basedOn w:val="Normal"/>
    <w:qFormat/>
    <w:pPr>
      <w:tabs>
        <w:tab w:val="clear" w:pos="708"/>
        <w:tab w:val="right" w:pos="3960" w:leader="dot"/>
      </w:tabs>
      <w:ind w:left="720" w:right="0" w:hanging="720"/>
    </w:pPr>
    <w:rPr/>
  </w:style>
  <w:style w:type="paragraph" w:styleId="Indexheading">
    <w:name w:val="index heading"/>
    <w:basedOn w:val="Normal"/>
    <w:qFormat/>
    <w:pPr>
      <w:keepNext w:val="true"/>
      <w:spacing w:before="120" w:after="0"/>
    </w:pPr>
    <w:rPr>
      <w:rFonts w:ascii="Arial" w:hAnsi="Arial"/>
      <w:b/>
      <w:kern w:val="2"/>
      <w:sz w:val="28"/>
    </w:rPr>
  </w:style>
  <w:style w:type="paragraph" w:styleId="ListBullet3">
    <w:name w:val="List Bullet 3"/>
    <w:basedOn w:val="ListBullet"/>
    <w:qFormat/>
    <w:pPr>
      <w:ind w:left="1440" w:right="0" w:hanging="360"/>
    </w:pPr>
    <w:rPr/>
  </w:style>
  <w:style w:type="paragraph" w:styleId="ListBullet4">
    <w:name w:val="List Bullet 4"/>
    <w:basedOn w:val="ListBullet"/>
    <w:qFormat/>
    <w:pPr>
      <w:ind w:left="1800" w:right="0" w:hanging="360"/>
    </w:pPr>
    <w:rPr/>
  </w:style>
  <w:style w:type="paragraph" w:styleId="ListBullet5">
    <w:name w:val="List Bullet 5"/>
    <w:basedOn w:val="ListBullet"/>
    <w:qFormat/>
    <w:pPr>
      <w:ind w:left="2160" w:right="0" w:hanging="360"/>
    </w:pPr>
    <w:rPr/>
  </w:style>
  <w:style w:type="paragraph" w:styleId="ListNumber">
    <w:name w:val="List Number"/>
    <w:basedOn w:val="Style15"/>
    <w:qFormat/>
    <w:pPr>
      <w:spacing w:before="0" w:after="160"/>
    </w:pPr>
    <w:rPr/>
  </w:style>
  <w:style w:type="paragraph" w:styleId="ListBullet">
    <w:name w:val="List Bullet"/>
    <w:basedOn w:val="Style15"/>
    <w:qFormat/>
    <w:pPr>
      <w:spacing w:before="0" w:after="160"/>
    </w:pPr>
    <w:rPr/>
  </w:style>
  <w:style w:type="paragraph" w:styleId="ListBullet2">
    <w:name w:val="List Bullet 2"/>
    <w:basedOn w:val="ListBullet"/>
    <w:qFormat/>
    <w:pPr>
      <w:ind w:left="1080" w:right="0" w:hanging="360"/>
    </w:pPr>
    <w:rPr/>
  </w:style>
  <w:style w:type="paragraph" w:styleId="Style44">
    <w:name w:val="Список бюл. первый"/>
    <w:basedOn w:val="ListBullet"/>
    <w:qFormat/>
    <w:pPr>
      <w:spacing w:before="80" w:after="160"/>
    </w:pPr>
    <w:rPr/>
  </w:style>
  <w:style w:type="paragraph" w:styleId="Style45">
    <w:name w:val="Список бюл. последний"/>
    <w:basedOn w:val="ListBullet"/>
    <w:qFormat/>
    <w:pPr>
      <w:spacing w:before="0" w:after="240"/>
    </w:pPr>
    <w:rPr/>
  </w:style>
  <w:style w:type="paragraph" w:styleId="ListContinue">
    <w:name w:val="List Continue"/>
    <w:basedOn w:val="Style15"/>
    <w:qFormat/>
    <w:pPr>
      <w:spacing w:before="0" w:after="160"/>
    </w:pPr>
    <w:rPr/>
  </w:style>
  <w:style w:type="paragraph" w:styleId="ListContinue2">
    <w:name w:val="List Continue 2"/>
    <w:basedOn w:val="ListContinue"/>
    <w:qFormat/>
    <w:pPr>
      <w:ind w:left="1080" w:right="0" w:hanging="360"/>
    </w:pPr>
    <w:rPr/>
  </w:style>
  <w:style w:type="paragraph" w:styleId="ListContinue3">
    <w:name w:val="List Continue 3"/>
    <w:basedOn w:val="ListContinue"/>
    <w:qFormat/>
    <w:pPr>
      <w:ind w:left="1440" w:right="0" w:hanging="360"/>
    </w:pPr>
    <w:rPr/>
  </w:style>
  <w:style w:type="paragraph" w:styleId="ListContinue4">
    <w:name w:val="List Continue 4"/>
    <w:basedOn w:val="ListContinue"/>
    <w:qFormat/>
    <w:pPr>
      <w:ind w:left="1800" w:right="0" w:hanging="360"/>
    </w:pPr>
    <w:rPr/>
  </w:style>
  <w:style w:type="paragraph" w:styleId="ListContinue5">
    <w:name w:val="List Continue 5"/>
    <w:basedOn w:val="ListContinue"/>
    <w:qFormat/>
    <w:pPr>
      <w:ind w:left="2160" w:right="0" w:hanging="360"/>
    </w:pPr>
    <w:rPr/>
  </w:style>
  <w:style w:type="paragraph" w:styleId="Style46">
    <w:name w:val="Список первый"/>
    <w:basedOn w:val="Style15"/>
    <w:qFormat/>
    <w:pPr>
      <w:spacing w:before="80" w:after="80"/>
    </w:pPr>
    <w:rPr/>
  </w:style>
  <w:style w:type="paragraph" w:styleId="Style47">
    <w:name w:val="Список последний"/>
    <w:basedOn w:val="Style15"/>
    <w:qFormat/>
    <w:pPr>
      <w:spacing w:before="0" w:after="240"/>
    </w:pPr>
    <w:rPr/>
  </w:style>
  <w:style w:type="paragraph" w:styleId="ListNumber2">
    <w:name w:val="List Number 2"/>
    <w:basedOn w:val="ListNumber"/>
    <w:qFormat/>
    <w:pPr>
      <w:ind w:left="1080" w:right="0" w:hanging="360"/>
    </w:pPr>
    <w:rPr/>
  </w:style>
  <w:style w:type="paragraph" w:styleId="ListNumber3">
    <w:name w:val="List Number 3"/>
    <w:basedOn w:val="ListNumber"/>
    <w:qFormat/>
    <w:pPr>
      <w:ind w:left="1440" w:right="0" w:hanging="360"/>
    </w:pPr>
    <w:rPr/>
  </w:style>
  <w:style w:type="paragraph" w:styleId="ListNumber4">
    <w:name w:val="List Number 4"/>
    <w:basedOn w:val="ListNumber"/>
    <w:qFormat/>
    <w:pPr>
      <w:ind w:left="1800" w:right="0" w:hanging="360"/>
    </w:pPr>
    <w:rPr/>
  </w:style>
  <w:style w:type="paragraph" w:styleId="ListNumber5">
    <w:name w:val="List Number 5"/>
    <w:basedOn w:val="ListNumber"/>
    <w:qFormat/>
    <w:pPr>
      <w:ind w:left="2160" w:right="0" w:hanging="360"/>
    </w:pPr>
    <w:rPr/>
  </w:style>
  <w:style w:type="paragraph" w:styleId="Style48">
    <w:name w:val="Список нум. первый"/>
    <w:basedOn w:val="ListNumber"/>
    <w:qFormat/>
    <w:pPr>
      <w:spacing w:before="80" w:after="160"/>
    </w:pPr>
    <w:rPr/>
  </w:style>
  <w:style w:type="paragraph" w:styleId="Style49">
    <w:name w:val="Список нум. последний"/>
    <w:basedOn w:val="ListNumber"/>
    <w:qFormat/>
    <w:pPr>
      <w:spacing w:before="0" w:after="240"/>
    </w:pPr>
    <w:rPr/>
  </w:style>
  <w:style w:type="paragraph" w:styleId="Macro">
    <w:name w:val="macro"/>
    <w:basedOn w:val="Style14"/>
    <w:qFormat/>
    <w:pPr>
      <w:spacing w:lineRule="auto" w:line="240" w:before="0" w:after="120"/>
    </w:pPr>
    <w:rPr>
      <w:rFonts w:ascii="Courier New" w:hAnsi="Courier New"/>
    </w:rPr>
  </w:style>
  <w:style w:type="paragraph" w:styleId="Style50">
    <w:name w:val="Имя"/>
    <w:basedOn w:val="Style14"/>
    <w:qFormat/>
    <w:pPr>
      <w:jc w:val="center"/>
    </w:pPr>
    <w:rPr/>
  </w:style>
  <w:style w:type="paragraph" w:styleId="Style51">
    <w:name w:val="Метка части"/>
    <w:basedOn w:val="Style42"/>
    <w:qFormat/>
    <w:pPr>
      <w:spacing w:before="600" w:after="160"/>
      <w:jc w:val="center"/>
    </w:pPr>
    <w:rPr>
      <w:b w:val="false"/>
      <w:sz w:val="24"/>
      <w:u w:val="single"/>
    </w:rPr>
  </w:style>
  <w:style w:type="paragraph" w:styleId="Style52">
    <w:name w:val="Подзаголовок части"/>
    <w:basedOn w:val="Normal"/>
    <w:qFormat/>
    <w:pPr>
      <w:keepNext w:val="true"/>
      <w:spacing w:before="360" w:after="120"/>
      <w:jc w:val="center"/>
    </w:pPr>
    <w:rPr>
      <w:rFonts w:ascii="Arial" w:hAnsi="Arial"/>
      <w:i/>
      <w:kern w:val="2"/>
      <w:sz w:val="32"/>
    </w:rPr>
  </w:style>
  <w:style w:type="paragraph" w:styleId="Style53">
    <w:name w:val="Заголовок части"/>
    <w:basedOn w:val="Style42"/>
    <w:qFormat/>
    <w:pPr>
      <w:spacing w:before="600" w:after="120"/>
      <w:jc w:val="center"/>
    </w:pPr>
    <w:rPr/>
  </w:style>
  <w:style w:type="paragraph" w:styleId="Style54">
    <w:name w:val="Иллюстрация"/>
    <w:basedOn w:val="Style14"/>
    <w:qFormat/>
    <w:pPr>
      <w:keepNext w:val="true"/>
      <w:spacing w:lineRule="auto" w:line="240"/>
    </w:pPr>
    <w:rPr/>
  </w:style>
  <w:style w:type="paragraph" w:styleId="Style55">
    <w:name w:val="Заголовок раздела"/>
    <w:basedOn w:val="Style42"/>
    <w:qFormat/>
    <w:pPr>
      <w:spacing w:before="120" w:after="160"/>
    </w:pPr>
    <w:rPr>
      <w:sz w:val="28"/>
    </w:rPr>
  </w:style>
  <w:style w:type="paragraph" w:styleId="Style56">
    <w:name w:val="Метка раздела"/>
    <w:basedOn w:val="Style42"/>
    <w:qFormat/>
    <w:pPr>
      <w:spacing w:before="240" w:after="360"/>
      <w:jc w:val="center"/>
    </w:pPr>
    <w:rPr/>
  </w:style>
  <w:style w:type="paragraph" w:styleId="Style57">
    <w:name w:val="Subtitle"/>
    <w:basedOn w:val="Style58"/>
    <w:qFormat/>
    <w:pPr>
      <w:spacing w:before="0" w:after="240"/>
    </w:pPr>
    <w:rPr>
      <w:b w:val="false"/>
      <w:i/>
      <w:sz w:val="28"/>
    </w:rPr>
  </w:style>
  <w:style w:type="paragraph" w:styleId="Style58">
    <w:name w:val="Title"/>
    <w:basedOn w:val="Style42"/>
    <w:qFormat/>
    <w:pPr>
      <w:spacing w:before="360" w:after="160"/>
      <w:jc w:val="center"/>
    </w:pPr>
    <w:rPr>
      <w:sz w:val="40"/>
    </w:rPr>
  </w:style>
  <w:style w:type="paragraph" w:styleId="Style59">
    <w:name w:val="Подзаголовок обложки"/>
    <w:basedOn w:val="Normal"/>
    <w:qFormat/>
    <w:pPr>
      <w:keepNext w:val="true"/>
      <w:spacing w:before="240" w:after="160"/>
      <w:jc w:val="center"/>
    </w:pPr>
    <w:rPr>
      <w:rFonts w:ascii="Arial" w:hAnsi="Arial"/>
      <w:i/>
      <w:kern w:val="2"/>
      <w:sz w:val="36"/>
    </w:rPr>
  </w:style>
  <w:style w:type="paragraph" w:styleId="Tableofauthorities">
    <w:name w:val="table of authorities"/>
    <w:basedOn w:val="Normal"/>
    <w:qFormat/>
    <w:pPr>
      <w:tabs>
        <w:tab w:val="clear" w:pos="708"/>
        <w:tab w:val="right" w:pos="8640" w:leader="dot"/>
      </w:tabs>
      <w:ind w:left="360" w:right="0" w:hanging="360"/>
    </w:pPr>
    <w:rPr/>
  </w:style>
  <w:style w:type="paragraph" w:styleId="Tableoffigures">
    <w:name w:val="table of figures"/>
    <w:basedOn w:val="Normal"/>
    <w:qFormat/>
    <w:pPr>
      <w:tabs>
        <w:tab w:val="clear" w:pos="708"/>
        <w:tab w:val="right" w:pos="8640" w:leader="dot"/>
      </w:tabs>
      <w:ind w:left="720" w:right="0" w:hanging="720"/>
    </w:pPr>
    <w:rPr/>
  </w:style>
  <w:style w:type="paragraph" w:styleId="Style60">
    <w:name w:val="Заголовок обложки"/>
    <w:basedOn w:val="Style42"/>
    <w:qFormat/>
    <w:pPr>
      <w:spacing w:before="720" w:after="160"/>
      <w:jc w:val="center"/>
    </w:pPr>
    <w:rPr>
      <w:sz w:val="48"/>
    </w:rPr>
  </w:style>
  <w:style w:type="paragraph" w:styleId="Toaheading">
    <w:name w:val="toa heading"/>
    <w:basedOn w:val="Style55"/>
    <w:qFormat/>
    <w:pPr/>
    <w:rPr/>
  </w:style>
  <w:style w:type="paragraph" w:styleId="12">
    <w:name w:val="TOC 1"/>
    <w:basedOn w:val="Normal"/>
    <w:pPr>
      <w:tabs>
        <w:tab w:val="clear" w:pos="708"/>
        <w:tab w:val="right" w:pos="8640" w:leader="dot"/>
      </w:tabs>
      <w:spacing w:before="180" w:after="120"/>
    </w:pPr>
    <w:rPr>
      <w:rFonts w:ascii="Arial" w:hAnsi="Arial"/>
      <w:b/>
      <w:sz w:val="24"/>
    </w:rPr>
  </w:style>
  <w:style w:type="paragraph" w:styleId="21">
    <w:name w:val="TOC 2"/>
    <w:basedOn w:val="Normal"/>
    <w:pPr>
      <w:tabs>
        <w:tab w:val="clear" w:pos="708"/>
        <w:tab w:val="right" w:pos="8640" w:leader="dot"/>
      </w:tabs>
      <w:ind w:left="360" w:right="0" w:hanging="0"/>
    </w:pPr>
    <w:rPr/>
  </w:style>
  <w:style w:type="paragraph" w:styleId="31">
    <w:name w:val="TOC 3"/>
    <w:basedOn w:val="Normal"/>
    <w:pPr>
      <w:tabs>
        <w:tab w:val="clear" w:pos="708"/>
        <w:tab w:val="right" w:pos="8640" w:leader="dot"/>
      </w:tabs>
      <w:ind w:left="720" w:right="0" w:hanging="0"/>
    </w:pPr>
    <w:rPr/>
  </w:style>
  <w:style w:type="paragraph" w:styleId="41">
    <w:name w:val="TOC 4"/>
    <w:basedOn w:val="Normal"/>
    <w:pPr>
      <w:tabs>
        <w:tab w:val="clear" w:pos="708"/>
        <w:tab w:val="right" w:pos="8640" w:leader="dot"/>
      </w:tabs>
      <w:ind w:left="1080" w:right="0" w:hanging="0"/>
    </w:pPr>
    <w:rPr/>
  </w:style>
  <w:style w:type="paragraph" w:styleId="51">
    <w:name w:val="TOC 5"/>
    <w:basedOn w:val="Normal"/>
    <w:pPr>
      <w:tabs>
        <w:tab w:val="clear" w:pos="708"/>
        <w:tab w:val="right" w:pos="8640" w:leader="dot"/>
      </w:tabs>
      <w:ind w:left="1440" w:right="0" w:hanging="0"/>
    </w:pPr>
    <w:rPr/>
  </w:style>
  <w:style w:type="paragraph" w:styleId="61">
    <w:name w:val="TOC 6"/>
    <w:basedOn w:val="Normal"/>
    <w:pPr>
      <w:tabs>
        <w:tab w:val="clear" w:pos="708"/>
        <w:tab w:val="right" w:pos="8640" w:leader="dot"/>
      </w:tabs>
      <w:ind w:left="1800" w:right="0" w:hanging="0"/>
    </w:pPr>
    <w:rPr/>
  </w:style>
  <w:style w:type="paragraph" w:styleId="71">
    <w:name w:val="TOC 7"/>
    <w:basedOn w:val="Normal"/>
    <w:pPr>
      <w:tabs>
        <w:tab w:val="clear" w:pos="708"/>
        <w:tab w:val="right" w:pos="8640" w:leader="dot"/>
      </w:tabs>
      <w:ind w:left="2160" w:right="0" w:hanging="0"/>
    </w:pPr>
    <w:rPr/>
  </w:style>
  <w:style w:type="paragraph" w:styleId="81">
    <w:name w:val="TOC 8"/>
    <w:basedOn w:val="Normal"/>
    <w:pPr>
      <w:tabs>
        <w:tab w:val="clear" w:pos="708"/>
        <w:tab w:val="right" w:pos="8640" w:leader="dot"/>
      </w:tabs>
      <w:ind w:left="2520" w:right="0" w:hanging="0"/>
    </w:pPr>
    <w:rPr/>
  </w:style>
  <w:style w:type="paragraph" w:styleId="91">
    <w:name w:val="TOC 9"/>
    <w:basedOn w:val="Normal"/>
    <w:pPr>
      <w:tabs>
        <w:tab w:val="clear" w:pos="708"/>
        <w:tab w:val="right" w:pos="8640" w:leader="dot"/>
      </w:tabs>
      <w:ind w:left="2880" w:right="0" w:hanging="0"/>
    </w:pPr>
    <w:rPr/>
  </w:style>
  <w:style w:type="paragraph" w:styleId="Style61">
    <w:name w:val="Базовое оглавление"/>
    <w:basedOn w:val="Normal"/>
    <w:qFormat/>
    <w:pPr>
      <w:tabs>
        <w:tab w:val="clear" w:pos="708"/>
        <w:tab w:val="right" w:pos="8640" w:leader="dot"/>
      </w:tabs>
    </w:pPr>
    <w:rPr/>
  </w:style>
  <w:style w:type="paragraph" w:styleId="Envelopeaddress">
    <w:name w:val="envelope address"/>
    <w:basedOn w:val="Normal"/>
    <w:qFormat/>
    <w:pPr>
      <w:ind w:left="2880" w:right="0" w:hanging="0"/>
    </w:pPr>
    <w:rPr>
      <w:sz w:val="24"/>
    </w:rPr>
  </w:style>
  <w:style w:type="paragraph" w:styleId="MessageHeader">
    <w:name w:val="Message Header"/>
    <w:basedOn w:val="Normal"/>
    <w:qFormat/>
    <w:pPr>
      <w:ind w:left="1134" w:right="0" w:hanging="1134"/>
    </w:pPr>
    <w:rPr>
      <w:rFonts w:ascii="Arial" w:hAnsi="Arial"/>
      <w:sz w:val="24"/>
    </w:rPr>
  </w:style>
  <w:style w:type="paragraph" w:styleId="Envelopereturn">
    <w:name w:val="envelope return"/>
    <w:basedOn w:val="Normal"/>
    <w:qFormat/>
    <w:pPr/>
    <w:rPr/>
  </w:style>
  <w:style w:type="paragraph" w:styleId="Closing">
    <w:name w:val="Closing"/>
    <w:basedOn w:val="Normal"/>
    <w:qFormat/>
    <w:pPr>
      <w:ind w:left="4252" w:right="0" w:hanging="0"/>
    </w:pPr>
    <w:rPr/>
  </w:style>
  <w:style w:type="paragraph" w:styleId="NormalIndent">
    <w:name w:val="Normal Indent"/>
    <w:basedOn w:val="Normal"/>
    <w:qFormat/>
    <w:pPr>
      <w:ind w:left="708" w:right="0" w:hanging="0"/>
    </w:pPr>
    <w:rPr/>
  </w:style>
  <w:style w:type="paragraph" w:styleId="Style62">
    <w:name w:val="Signature"/>
    <w:basedOn w:val="Normal"/>
    <w:pPr>
      <w:ind w:left="4252" w:right="0" w:hanging="0"/>
    </w:pPr>
    <w:rPr/>
  </w:style>
  <w:style w:type="paragraph" w:styleId="BodyText3">
    <w:name w:val="Body Text 3"/>
    <w:basedOn w:val="Normal"/>
    <w:qFormat/>
    <w:pPr>
      <w:spacing w:before="0" w:after="120"/>
    </w:pPr>
    <w:rPr>
      <w:sz w:val="16"/>
      <w:szCs w:val="16"/>
    </w:rPr>
  </w:style>
  <w:style w:type="paragraph" w:styleId="BodyText2">
    <w:name w:val="Body Text 2"/>
    <w:basedOn w:val="Normal"/>
    <w:qFormat/>
    <w:pPr/>
    <w:rPr>
      <w:rFonts w:ascii="Arial" w:hAnsi="Arial"/>
      <w:sz w:val="12"/>
    </w:rPr>
  </w:style>
  <w:style w:type="paragraph" w:styleId="13">
    <w:name w:val="Обычный1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spacing w:lineRule="atLeast" w:line="168"/>
      <w:ind w:left="0" w:right="0" w:firstLine="708"/>
      <w:jc w:val="both"/>
    </w:pPr>
    <w:rPr/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2"/>
    <w:basedOn w:val="Normal"/>
    <w:qFormat/>
    <w:pPr>
      <w:jc w:val="both"/>
    </w:pPr>
    <w:rPr>
      <w:sz w:val="28"/>
    </w:rPr>
  </w:style>
  <w:style w:type="paragraph" w:styleId="Style63">
    <w:name w:val="Содержимое таблицы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PapkaFis</Template>
  <TotalTime>3711</TotalTime>
  <Application>LibreOffice/6.4.7.2$Linux_X86_64 LibreOffice_project/40$Build-2</Application>
  <Pages>7</Pages>
  <Words>2353</Words>
  <Characters>17737</Characters>
  <CharactersWithSpaces>20386</CharactersWithSpaces>
  <Paragraphs>139</Paragraphs>
  <Company>Gulfstream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2020-09-03T05:59:00Z</dcterms:created>
  <dc:creator>Luba</dc:creator>
  <dc:description/>
  <dc:language>ru-RU</dc:language>
  <cp:lastModifiedBy/>
  <cp:lastPrinted>2025-03-17T14:42:48Z</cp:lastPrinted>
  <dcterms:modified xsi:type="dcterms:W3CDTF">2025-04-29T15:20:00Z</dcterms:modified>
  <cp:revision>93</cp:revision>
  <dc:subject/>
  <dc:title>г. Москва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Gulfstream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